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sz w:val="24"/>
          <w:szCs w:val="24"/>
        </w:rPr>
      </w:pPr>
      <w:r w:rsidDel="00000000" w:rsidR="00000000" w:rsidRPr="00000000">
        <w:rPr>
          <w:rtl w:val="0"/>
        </w:rPr>
      </w:r>
    </w:p>
    <w:p w:rsidR="00000000" w:rsidDel="00000000" w:rsidP="00000000" w:rsidRDefault="00000000" w:rsidRPr="00000000" w14:paraId="00000002">
      <w:pPr>
        <w:pStyle w:val="Heading3"/>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48"/>
          <w:szCs w:val="48"/>
        </w:rPr>
      </w:pPr>
      <w:r w:rsidDel="00000000" w:rsidR="00000000" w:rsidRPr="00000000">
        <w:rPr>
          <w:rtl w:val="0"/>
        </w:rPr>
      </w:r>
    </w:p>
    <w:p w:rsidR="00000000" w:rsidDel="00000000" w:rsidP="00000000" w:rsidRDefault="00000000" w:rsidRPr="00000000" w14:paraId="00000004">
      <w:pPr>
        <w:jc w:val="center"/>
        <w:rPr>
          <w:b w:val="1"/>
          <w:sz w:val="48"/>
          <w:szCs w:val="48"/>
        </w:rPr>
      </w:pPr>
      <w:r w:rsidDel="00000000" w:rsidR="00000000" w:rsidRPr="00000000">
        <w:rPr>
          <w:rtl w:val="0"/>
        </w:rPr>
      </w:r>
    </w:p>
    <w:p w:rsidR="00000000" w:rsidDel="00000000" w:rsidP="00000000" w:rsidRDefault="00000000" w:rsidRPr="00000000" w14:paraId="00000005">
      <w:pPr>
        <w:jc w:val="center"/>
        <w:rPr>
          <w:b w:val="1"/>
          <w:sz w:val="48"/>
          <w:szCs w:val="48"/>
        </w:rPr>
      </w:pPr>
      <w:r w:rsidDel="00000000" w:rsidR="00000000" w:rsidRPr="00000000">
        <w:rPr>
          <w:rtl w:val="0"/>
        </w:rPr>
      </w:r>
    </w:p>
    <w:p w:rsidR="00000000" w:rsidDel="00000000" w:rsidP="00000000" w:rsidRDefault="00000000" w:rsidRPr="00000000" w14:paraId="00000006">
      <w:pPr>
        <w:jc w:val="center"/>
        <w:rPr>
          <w:b w:val="1"/>
          <w:sz w:val="48"/>
          <w:szCs w:val="48"/>
        </w:rPr>
      </w:pPr>
      <w:r w:rsidDel="00000000" w:rsidR="00000000" w:rsidRPr="00000000">
        <w:rPr>
          <w:rtl w:val="0"/>
        </w:rPr>
      </w:r>
    </w:p>
    <w:p w:rsidR="00000000" w:rsidDel="00000000" w:rsidP="00000000" w:rsidRDefault="00000000" w:rsidRPr="00000000" w14:paraId="00000007">
      <w:pPr>
        <w:jc w:val="center"/>
        <w:rPr>
          <w:b w:val="1"/>
          <w:sz w:val="48"/>
          <w:szCs w:val="48"/>
        </w:rPr>
      </w:pPr>
      <w:r w:rsidDel="00000000" w:rsidR="00000000" w:rsidRPr="00000000">
        <w:rPr>
          <w:rtl w:val="0"/>
        </w:rPr>
      </w:r>
    </w:p>
    <w:p w:rsidR="00000000" w:rsidDel="00000000" w:rsidP="00000000" w:rsidRDefault="00000000" w:rsidRPr="00000000" w14:paraId="00000008">
      <w:pPr>
        <w:jc w:val="center"/>
        <w:rPr>
          <w:b w:val="1"/>
          <w:sz w:val="48"/>
          <w:szCs w:val="48"/>
        </w:rPr>
      </w:pPr>
      <w:r w:rsidDel="00000000" w:rsidR="00000000" w:rsidRPr="00000000">
        <w:rPr>
          <w:b w:val="1"/>
          <w:sz w:val="48"/>
          <w:szCs w:val="48"/>
          <w:rtl w:val="0"/>
        </w:rPr>
        <w:t xml:space="preserve">LLAMADO A SUBASTA CON SOBRE CERRADO DE VEHÍCULOS DE PETROMINERA CHUBUT S.E., N° 01/2023</w:t>
      </w:r>
    </w:p>
    <w:p w:rsidR="00000000" w:rsidDel="00000000" w:rsidP="00000000" w:rsidRDefault="00000000" w:rsidRPr="00000000" w14:paraId="00000009">
      <w:pPr>
        <w:pStyle w:val="Heading1"/>
        <w:tabs>
          <w:tab w:val="center" w:leader="none" w:pos="4961"/>
          <w:tab w:val="left" w:leader="none" w:pos="7470"/>
        </w:tabs>
        <w:rPr>
          <w:sz w:val="48"/>
          <w:szCs w:val="48"/>
          <w:u w:val="none"/>
        </w:rPr>
      </w:pPr>
      <w:r w:rsidDel="00000000" w:rsidR="00000000" w:rsidRPr="00000000">
        <w:rPr>
          <w:rtl w:val="0"/>
        </w:rPr>
      </w:r>
    </w:p>
    <w:p w:rsidR="00000000" w:rsidDel="00000000" w:rsidP="00000000" w:rsidRDefault="00000000" w:rsidRPr="00000000" w14:paraId="0000000A">
      <w:pPr>
        <w:pStyle w:val="Heading1"/>
        <w:tabs>
          <w:tab w:val="center" w:leader="none" w:pos="4961"/>
          <w:tab w:val="left" w:leader="none" w:pos="7470"/>
        </w:tabs>
        <w:rPr>
          <w:sz w:val="48"/>
          <w:szCs w:val="48"/>
          <w:u w:val="none"/>
        </w:rPr>
      </w:pPr>
      <w:r w:rsidDel="00000000" w:rsidR="00000000" w:rsidRPr="00000000">
        <w:rPr>
          <w:sz w:val="48"/>
          <w:szCs w:val="48"/>
          <w:u w:val="none"/>
          <w:rtl w:val="0"/>
        </w:rPr>
        <w:t xml:space="preserve">Pliego de Bases y Condiciones</w:t>
      </w:r>
    </w:p>
    <w:p w:rsidR="00000000" w:rsidDel="00000000" w:rsidP="00000000" w:rsidRDefault="00000000" w:rsidRPr="00000000" w14:paraId="0000000B">
      <w:pPr>
        <w:pStyle w:val="Heading3"/>
        <w:rPr>
          <w:sz w:val="24"/>
          <w:szCs w:val="24"/>
        </w:rPr>
      </w:pPr>
      <w:r w:rsidDel="00000000" w:rsidR="00000000" w:rsidRPr="00000000">
        <w:rPr>
          <w:rtl w:val="0"/>
        </w:rPr>
      </w:r>
    </w:p>
    <w:p w:rsidR="00000000" w:rsidDel="00000000" w:rsidP="00000000" w:rsidRDefault="00000000" w:rsidRPr="00000000" w14:paraId="0000000C">
      <w:pPr>
        <w:pStyle w:val="Heading3"/>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LLAMADO SUBASTA CON SOBRE CERRADO DE VEHÍCULOS DE PETROMINERA CHUBUT S.E., N° 01/2023</w:t>
      </w:r>
    </w:p>
    <w:p w:rsidR="00000000" w:rsidDel="00000000" w:rsidP="00000000" w:rsidRDefault="00000000" w:rsidRPr="00000000" w14:paraId="00000028">
      <w:pPr>
        <w:pStyle w:val="Heading1"/>
        <w:tabs>
          <w:tab w:val="center" w:leader="none" w:pos="4961"/>
          <w:tab w:val="left" w:leader="none" w:pos="7470"/>
        </w:tabs>
        <w:rPr>
          <w:sz w:val="24"/>
          <w:szCs w:val="24"/>
          <w:u w:val="none"/>
        </w:rPr>
      </w:pPr>
      <w:r w:rsidDel="00000000" w:rsidR="00000000" w:rsidRPr="00000000">
        <w:rPr>
          <w:rtl w:val="0"/>
        </w:rPr>
      </w:r>
    </w:p>
    <w:p w:rsidR="00000000" w:rsidDel="00000000" w:rsidP="00000000" w:rsidRDefault="00000000" w:rsidRPr="00000000" w14:paraId="00000029">
      <w:pPr>
        <w:pStyle w:val="Heading1"/>
        <w:tabs>
          <w:tab w:val="center" w:leader="none" w:pos="4961"/>
          <w:tab w:val="left" w:leader="none" w:pos="7470"/>
        </w:tabs>
        <w:rPr>
          <w:sz w:val="24"/>
          <w:szCs w:val="24"/>
          <w:u w:val="none"/>
        </w:rPr>
      </w:pPr>
      <w:r w:rsidDel="00000000" w:rsidR="00000000" w:rsidRPr="00000000">
        <w:rPr>
          <w:sz w:val="24"/>
          <w:szCs w:val="24"/>
          <w:u w:val="none"/>
          <w:rtl w:val="0"/>
        </w:rPr>
        <w:t xml:space="preserve">Pliego de Bases y Condiciones</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numPr>
          <w:ilvl w:val="1"/>
          <w:numId w:val="4"/>
        </w:numPr>
        <w:spacing w:before="240" w:line="276" w:lineRule="auto"/>
        <w:ind w:left="0" w:firstLine="0"/>
        <w:jc w:val="both"/>
        <w:rPr/>
      </w:pPr>
      <w:r w:rsidDel="00000000" w:rsidR="00000000" w:rsidRPr="00000000">
        <w:rPr>
          <w:b w:val="1"/>
          <w:rtl w:val="0"/>
        </w:rPr>
        <w:t xml:space="preserve">Objeto: </w:t>
      </w:r>
      <w:r w:rsidDel="00000000" w:rsidR="00000000" w:rsidRPr="00000000">
        <w:rPr>
          <w:rtl w:val="0"/>
        </w:rPr>
        <w:t xml:space="preserve">La presente subasta con precio base, tiene por objeto la venta de TRES (3) rodados.</w:t>
      </w:r>
    </w:p>
    <w:p w:rsidR="00000000" w:rsidDel="00000000" w:rsidP="00000000" w:rsidRDefault="00000000" w:rsidRPr="00000000" w14:paraId="0000002C">
      <w:pPr>
        <w:numPr>
          <w:ilvl w:val="1"/>
          <w:numId w:val="4"/>
        </w:numPr>
        <w:spacing w:before="240" w:line="276" w:lineRule="auto"/>
        <w:ind w:left="0" w:firstLine="0"/>
        <w:jc w:val="both"/>
        <w:rPr/>
      </w:pPr>
      <w:r w:rsidDel="00000000" w:rsidR="00000000" w:rsidRPr="00000000">
        <w:rPr>
          <w:b w:val="1"/>
          <w:rtl w:val="0"/>
        </w:rPr>
        <w:t xml:space="preserve">Modalidad:</w:t>
      </w:r>
      <w:r w:rsidDel="00000000" w:rsidR="00000000" w:rsidRPr="00000000">
        <w:rPr>
          <w:rtl w:val="0"/>
        </w:rPr>
        <w:t xml:space="preserve"> Subasta con sobre cerrado al primer precio.</w:t>
      </w:r>
    </w:p>
    <w:p w:rsidR="00000000" w:rsidDel="00000000" w:rsidP="00000000" w:rsidRDefault="00000000" w:rsidRPr="00000000" w14:paraId="0000002D">
      <w:pPr>
        <w:numPr>
          <w:ilvl w:val="1"/>
          <w:numId w:val="4"/>
        </w:numPr>
        <w:spacing w:before="240" w:line="276" w:lineRule="auto"/>
        <w:ind w:left="0" w:firstLine="0"/>
        <w:jc w:val="both"/>
        <w:rPr/>
      </w:pPr>
      <w:r w:rsidDel="00000000" w:rsidR="00000000" w:rsidRPr="00000000">
        <w:rPr>
          <w:b w:val="1"/>
          <w:color w:val="000000"/>
          <w:rtl w:val="0"/>
        </w:rPr>
        <w:t xml:space="preserve">Normas de aplicación: </w:t>
      </w:r>
      <w:r w:rsidDel="00000000" w:rsidR="00000000" w:rsidRPr="00000000">
        <w:rPr>
          <w:color w:val="000000"/>
          <w:rtl w:val="0"/>
        </w:rPr>
        <w:t xml:space="preserve">El presente procedimiento de selección, se regirá por el presente Pliego de Bases y Condiciones.</w:t>
      </w:r>
      <w:r w:rsidDel="00000000" w:rsidR="00000000" w:rsidRPr="00000000">
        <w:rPr>
          <w:rtl w:val="0"/>
        </w:rPr>
      </w:r>
    </w:p>
    <w:p w:rsidR="00000000" w:rsidDel="00000000" w:rsidP="00000000" w:rsidRDefault="00000000" w:rsidRPr="00000000" w14:paraId="0000002E">
      <w:pPr>
        <w:numPr>
          <w:ilvl w:val="1"/>
          <w:numId w:val="4"/>
        </w:numPr>
        <w:spacing w:before="240" w:line="276" w:lineRule="auto"/>
        <w:ind w:left="0" w:firstLine="0"/>
        <w:jc w:val="both"/>
        <w:rPr/>
      </w:pPr>
      <w:r w:rsidDel="00000000" w:rsidR="00000000" w:rsidRPr="00000000">
        <w:rPr>
          <w:b w:val="1"/>
          <w:rtl w:val="0"/>
        </w:rPr>
        <w:t xml:space="preserve">Obtención del pliego: </w:t>
      </w:r>
      <w:r w:rsidDel="00000000" w:rsidR="00000000" w:rsidRPr="00000000">
        <w:rPr>
          <w:rtl w:val="0"/>
        </w:rPr>
        <w:t xml:space="preserve">El presente pliego podrá descargarse, sin costo, del sitio web público de Petrominera Chubut S.E.  </w:t>
      </w:r>
      <w:hyperlink r:id="rId7">
        <w:r w:rsidDel="00000000" w:rsidR="00000000" w:rsidRPr="00000000">
          <w:rPr>
            <w:color w:val="0000ff"/>
            <w:u w:val="single"/>
            <w:rtl w:val="0"/>
          </w:rPr>
          <w:t xml:space="preserve">http://pmch.com.ar</w:t>
        </w:r>
      </w:hyperlink>
      <w:r w:rsidDel="00000000" w:rsidR="00000000" w:rsidRPr="00000000">
        <w:rPr>
          <w:rtl w:val="0"/>
        </w:rPr>
        <w:t xml:space="preserve"> (Novedades/Documentos) y en el sitio web </w:t>
      </w:r>
      <w:hyperlink r:id="rId8">
        <w:r w:rsidDel="00000000" w:rsidR="00000000" w:rsidRPr="00000000">
          <w:rPr>
            <w:color w:val="1155cc"/>
            <w:u w:val="single"/>
            <w:rtl w:val="0"/>
          </w:rPr>
          <w:t xml:space="preserve">https://licitaciones.chubut.gov.ar/</w:t>
        </w:r>
      </w:hyperlink>
      <w:r w:rsidDel="00000000" w:rsidR="00000000" w:rsidRPr="00000000">
        <w:rPr>
          <w:rtl w:val="0"/>
        </w:rPr>
        <w:t xml:space="preserve">. A su vez, podrá retirarse personalmente en la sede de PMC cita en calle Roque Sáenz Peña 796, 3er piso de la localidad de Comodoro Rivadavia, hasta el día hábil anterior a la fecha prevista para la apertura de sobres. </w:t>
      </w:r>
    </w:p>
    <w:p w:rsidR="00000000" w:rsidDel="00000000" w:rsidP="00000000" w:rsidRDefault="00000000" w:rsidRPr="00000000" w14:paraId="0000002F">
      <w:pPr>
        <w:numPr>
          <w:ilvl w:val="1"/>
          <w:numId w:val="4"/>
        </w:numPr>
        <w:spacing w:before="240" w:line="276" w:lineRule="auto"/>
        <w:ind w:left="0" w:firstLine="0"/>
        <w:jc w:val="both"/>
        <w:rPr/>
      </w:pPr>
      <w:r w:rsidDel="00000000" w:rsidR="00000000" w:rsidRPr="00000000">
        <w:rPr>
          <w:b w:val="1"/>
          <w:rtl w:val="0"/>
        </w:rPr>
        <w:t xml:space="preserve">Exhibición de los rodados: </w:t>
      </w:r>
      <w:r w:rsidDel="00000000" w:rsidR="00000000" w:rsidRPr="00000000">
        <w:rPr>
          <w:rtl w:val="0"/>
        </w:rPr>
        <w:t xml:space="preserve">Deberán dirigirse las solicitudes para exhibición de los rodados a la dirección de correo electrónico </w:t>
      </w:r>
      <w:hyperlink r:id="rId9">
        <w:r w:rsidDel="00000000" w:rsidR="00000000" w:rsidRPr="00000000">
          <w:rPr>
            <w:color w:val="0000ff"/>
            <w:u w:val="single"/>
            <w:rtl w:val="0"/>
          </w:rPr>
          <w:t xml:space="preserve">info@pmch.com.ar</w:t>
        </w:r>
      </w:hyperlink>
      <w:r w:rsidDel="00000000" w:rsidR="00000000" w:rsidRPr="00000000">
        <w:rPr>
          <w:rtl w:val="0"/>
        </w:rPr>
        <w:t xml:space="preserve">, hasta dos días hábiles anteriores a la fecha prevista para la subasta.</w:t>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numPr>
          <w:ilvl w:val="1"/>
          <w:numId w:val="4"/>
        </w:numPr>
        <w:spacing w:line="276" w:lineRule="auto"/>
        <w:ind w:left="0" w:firstLine="0"/>
        <w:jc w:val="both"/>
        <w:rPr/>
      </w:pPr>
      <w:r w:rsidDel="00000000" w:rsidR="00000000" w:rsidRPr="00000000">
        <w:rPr>
          <w:b w:val="1"/>
          <w:rtl w:val="0"/>
        </w:rPr>
        <w:t xml:space="preserve">Lugar de apertura de sobres: </w:t>
      </w:r>
      <w:r w:rsidDel="00000000" w:rsidR="00000000" w:rsidRPr="00000000">
        <w:rPr>
          <w:rtl w:val="0"/>
        </w:rPr>
        <w:t xml:space="preserve">La apertura de sobres se llevará a cabo en la sede social de PMC cita en calle Roque Sáenz Peña 796, 3er piso de la localidad de Comodoro Rivadavia, en la fecha y hora determinados en el llamado a subasta. </w:t>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numPr>
          <w:ilvl w:val="1"/>
          <w:numId w:val="4"/>
        </w:numPr>
        <w:spacing w:line="276" w:lineRule="auto"/>
        <w:ind w:left="0" w:firstLine="0"/>
        <w:jc w:val="both"/>
        <w:rPr/>
      </w:pPr>
      <w:r w:rsidDel="00000000" w:rsidR="00000000" w:rsidRPr="00000000">
        <w:rPr>
          <w:b w:val="1"/>
          <w:rtl w:val="0"/>
        </w:rPr>
        <w:t xml:space="preserve">Precio base de bienes:</w:t>
      </w:r>
      <w:r w:rsidDel="00000000" w:rsidR="00000000" w:rsidRPr="00000000">
        <w:rPr>
          <w:rtl w:val="0"/>
        </w:rPr>
        <w:t xml:space="preserve"> El precio ofertado no podrá ser inferior al precio base que para cada uno de los rodados se ha fijado en el catálogo agregado como Anexo III y que forma parte de las presentes condiciones. </w:t>
      </w:r>
    </w:p>
    <w:p w:rsidR="00000000" w:rsidDel="00000000" w:rsidP="00000000" w:rsidRDefault="00000000" w:rsidRPr="00000000" w14:paraId="00000034">
      <w:pPr>
        <w:spacing w:line="276" w:lineRule="auto"/>
        <w:jc w:val="both"/>
        <w:rPr>
          <w:b w:val="1"/>
        </w:rPr>
      </w:pPr>
      <w:r w:rsidDel="00000000" w:rsidR="00000000" w:rsidRPr="00000000">
        <w:rPr>
          <w:rtl w:val="0"/>
        </w:rPr>
      </w:r>
    </w:p>
    <w:p w:rsidR="00000000" w:rsidDel="00000000" w:rsidP="00000000" w:rsidRDefault="00000000" w:rsidRPr="00000000" w14:paraId="00000035">
      <w:pPr>
        <w:numPr>
          <w:ilvl w:val="1"/>
          <w:numId w:val="4"/>
        </w:numPr>
        <w:spacing w:line="276" w:lineRule="auto"/>
        <w:ind w:left="0" w:firstLine="0"/>
        <w:jc w:val="both"/>
        <w:rPr/>
      </w:pPr>
      <w:r w:rsidDel="00000000" w:rsidR="00000000" w:rsidRPr="00000000">
        <w:rPr>
          <w:b w:val="1"/>
          <w:rtl w:val="0"/>
        </w:rPr>
        <w:t xml:space="preserve">Participación en la subasta</w:t>
      </w:r>
      <w:r w:rsidDel="00000000" w:rsidR="00000000" w:rsidRPr="00000000">
        <w:rPr>
          <w:rtl w:val="0"/>
        </w:rPr>
        <w:t xml:space="preserve">: Sólo podrán participar todas las personas físicas o jurídicas con capacidad para obligarse y disponer de bienes y que presenten la documentación y declaraciones requeridas en los Anexo I y ll del presente Pliego de Bases y Condiciones Particulares. La sola participación en la subasta implica pleno conocimiento y aceptación de todas las cláusulas.</w:t>
      </w:r>
    </w:p>
    <w:p w:rsidR="00000000" w:rsidDel="00000000" w:rsidP="00000000" w:rsidRDefault="00000000" w:rsidRPr="00000000" w14:paraId="00000036">
      <w:pPr>
        <w:spacing w:line="276" w:lineRule="auto"/>
        <w:jc w:val="both"/>
        <w:rPr/>
      </w:pPr>
      <w:r w:rsidDel="00000000" w:rsidR="00000000" w:rsidRPr="00000000">
        <w:rPr>
          <w:rtl w:val="0"/>
        </w:rPr>
      </w:r>
    </w:p>
    <w:p w:rsidR="00000000" w:rsidDel="00000000" w:rsidP="00000000" w:rsidRDefault="00000000" w:rsidRPr="00000000" w14:paraId="00000037">
      <w:pPr>
        <w:numPr>
          <w:ilvl w:val="1"/>
          <w:numId w:val="4"/>
        </w:numPr>
        <w:spacing w:line="276" w:lineRule="auto"/>
        <w:ind w:left="0" w:firstLine="0"/>
        <w:jc w:val="both"/>
        <w:rPr>
          <w:b w:val="1"/>
        </w:rPr>
      </w:pPr>
      <w:r w:rsidDel="00000000" w:rsidR="00000000" w:rsidRPr="00000000">
        <w:rPr>
          <w:b w:val="1"/>
          <w:rtl w:val="0"/>
        </w:rPr>
        <w:t xml:space="preserve"> Prohibición de participar:</w:t>
      </w:r>
      <w:r w:rsidDel="00000000" w:rsidR="00000000" w:rsidRPr="00000000">
        <w:rPr>
          <w:rtl w:val="0"/>
        </w:rPr>
        <w:t xml:space="preserve"> Se encuentran prohibidos de participar como postores en la venta directa o indirectamente, o por persona interpuesta, los agentes y funcionarios del Sector Público Provincial y empleados de Petrominera Chubut S.E. </w:t>
      </w:r>
      <w:r w:rsidDel="00000000" w:rsidR="00000000" w:rsidRPr="00000000">
        <w:rPr>
          <w:rtl w:val="0"/>
        </w:rPr>
      </w:r>
    </w:p>
    <w:p w:rsidR="00000000" w:rsidDel="00000000" w:rsidP="00000000" w:rsidRDefault="00000000" w:rsidRPr="00000000" w14:paraId="00000038">
      <w:pPr>
        <w:spacing w:line="276" w:lineRule="auto"/>
        <w:jc w:val="both"/>
        <w:rPr>
          <w:b w:val="1"/>
        </w:rPr>
      </w:pPr>
      <w:r w:rsidDel="00000000" w:rsidR="00000000" w:rsidRPr="00000000">
        <w:rPr>
          <w:rtl w:val="0"/>
        </w:rPr>
      </w:r>
    </w:p>
    <w:p w:rsidR="00000000" w:rsidDel="00000000" w:rsidP="00000000" w:rsidRDefault="00000000" w:rsidRPr="00000000" w14:paraId="00000039">
      <w:pPr>
        <w:numPr>
          <w:ilvl w:val="1"/>
          <w:numId w:val="4"/>
        </w:numPr>
        <w:spacing w:line="276" w:lineRule="auto"/>
        <w:ind w:left="0" w:firstLine="0"/>
        <w:jc w:val="both"/>
        <w:rPr/>
      </w:pPr>
      <w:r w:rsidDel="00000000" w:rsidR="00000000" w:rsidRPr="00000000">
        <w:rPr>
          <w:b w:val="1"/>
          <w:rtl w:val="0"/>
        </w:rPr>
        <w:t xml:space="preserve">Condiciones de la venta: </w:t>
      </w:r>
      <w:r w:rsidDel="00000000" w:rsidR="00000000" w:rsidRPr="00000000">
        <w:rPr>
          <w:rtl w:val="0"/>
        </w:rPr>
        <w:t xml:space="preserve">Mediante acto de apertura de sobres se adjudicará, con base y al mejor postor, automóviles de propiedad de Petrominera Chubut S.E., en el estado en que se encuentran. </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08" w:firstLine="0"/>
        <w:rPr>
          <w:b w:val="1"/>
          <w:color w:val="000000"/>
        </w:rPr>
      </w:pPr>
      <w:r w:rsidDel="00000000" w:rsidR="00000000" w:rsidRPr="00000000">
        <w:rPr>
          <w:rtl w:val="0"/>
        </w:rPr>
      </w:r>
    </w:p>
    <w:p w:rsidR="00000000" w:rsidDel="00000000" w:rsidP="00000000" w:rsidRDefault="00000000" w:rsidRPr="00000000" w14:paraId="0000003B">
      <w:pPr>
        <w:numPr>
          <w:ilvl w:val="1"/>
          <w:numId w:val="4"/>
        </w:numPr>
        <w:spacing w:line="276" w:lineRule="auto"/>
        <w:ind w:left="0" w:firstLine="0"/>
        <w:jc w:val="both"/>
        <w:rPr/>
      </w:pPr>
      <w:r w:rsidDel="00000000" w:rsidR="00000000" w:rsidRPr="00000000">
        <w:rPr>
          <w:b w:val="1"/>
          <w:rtl w:val="0"/>
        </w:rPr>
        <w:t xml:space="preserve">Oferta bajo sobre: </w:t>
      </w:r>
      <w:r w:rsidDel="00000000" w:rsidR="00000000" w:rsidRPr="00000000">
        <w:rPr>
          <w:rtl w:val="0"/>
        </w:rPr>
        <w:t xml:space="preserve">Desde el momento en que se anuncia, y hasta una hora previa a la determinada para la apertura de sobres, se podrán presentar pujas por escrito bajo la modalidad de sobre cerrado, debiendo incorporar dentro del mismo la documentación requerida mediante Anexo I y II., la oferta de compra de acuerdo al modelo que se acompaña al presente Pliego como Anexo IV, como a su vez el presente pliego firmado en todas sus hojas por el oferente. A tales fines, dicho sobre se presentará en Petrominera Chubut S.E. de lunes a viernes de 09:00 a 14:00 horas, con el nombre y dirección del ofertante, hasta una hora antes de la apertura de sobres.</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numPr>
          <w:ilvl w:val="1"/>
          <w:numId w:val="4"/>
        </w:numPr>
        <w:spacing w:line="276" w:lineRule="auto"/>
        <w:ind w:left="0" w:firstLine="0"/>
        <w:jc w:val="both"/>
        <w:rPr/>
      </w:pPr>
      <w:r w:rsidDel="00000000" w:rsidR="00000000" w:rsidRPr="00000000">
        <w:rPr>
          <w:b w:val="1"/>
          <w:rtl w:val="0"/>
        </w:rPr>
        <w:t xml:space="preserve">Análisis de ofertas:</w:t>
      </w:r>
      <w:r w:rsidDel="00000000" w:rsidR="00000000" w:rsidRPr="00000000">
        <w:rPr>
          <w:rtl w:val="0"/>
        </w:rPr>
        <w:t xml:space="preserve"> Petrominera Chubut S.E., analizará las propuestas teniendo en cuenta los términos y conveniencia de las mismas, siempre y cuando se encuentren en condiciones de ser admitidas para calificar en el presente procedimiento. En el acto de apertura de sobres podrán estar los oferentes. La adjudicación luego de ser analizada por Petrominera Chubut S.E., será notificada con posterioridad al adjudicatario quién pagará el total del precio, dentro de los cinco (5) días hábiles siguientes al de la notificación indicada, mediante el procedimiento que se detalla en el presente pliego. Desde el área de compras de Petrominera Chubut S.E. se elevarán las recomendaciones relacionadas con el mérito de las ofertas y el orden de preferencia de las mismas. Petrominera Chubut S.E., podrá a su solo criterio rechazar todas las ofertas y declarar desierto el concurso en caso de que no se cumplan las condiciones previstas en el presente pliego. A su vez, podrá ser requerido subsanar aquellas omisiones que no revistan carácter substancial.</w:t>
      </w:r>
    </w:p>
    <w:p w:rsidR="00000000" w:rsidDel="00000000" w:rsidP="00000000" w:rsidRDefault="00000000" w:rsidRPr="00000000" w14:paraId="0000003E">
      <w:pPr>
        <w:spacing w:line="276" w:lineRule="auto"/>
        <w:jc w:val="both"/>
        <w:rPr/>
      </w:pPr>
      <w:r w:rsidDel="00000000" w:rsidR="00000000" w:rsidRPr="00000000">
        <w:rPr>
          <w:rtl w:val="0"/>
        </w:rPr>
        <w:t xml:space="preserve"> </w:t>
      </w:r>
    </w:p>
    <w:p w:rsidR="00000000" w:rsidDel="00000000" w:rsidP="00000000" w:rsidRDefault="00000000" w:rsidRPr="00000000" w14:paraId="0000003F">
      <w:pPr>
        <w:numPr>
          <w:ilvl w:val="1"/>
          <w:numId w:val="4"/>
        </w:numPr>
        <w:spacing w:line="276" w:lineRule="auto"/>
        <w:ind w:left="0" w:firstLine="0"/>
        <w:jc w:val="both"/>
        <w:rPr/>
      </w:pPr>
      <w:r w:rsidDel="00000000" w:rsidR="00000000" w:rsidRPr="00000000">
        <w:rPr>
          <w:rtl w:val="0"/>
        </w:rPr>
        <w:t xml:space="preserve"> </w:t>
      </w:r>
      <w:r w:rsidDel="00000000" w:rsidR="00000000" w:rsidRPr="00000000">
        <w:rPr>
          <w:b w:val="1"/>
          <w:rtl w:val="0"/>
        </w:rPr>
        <w:t xml:space="preserve">Igualdad de ofertas:</w:t>
      </w:r>
      <w:r w:rsidDel="00000000" w:rsidR="00000000" w:rsidRPr="00000000">
        <w:rPr>
          <w:rtl w:val="0"/>
        </w:rPr>
        <w:t xml:space="preserve"> En caso de producirse igualdad entre los montos ofertados en sobre cerrado, se procederá a solicitar a ambas partes que realicen una mejora de oferta, para tal efecto se tomará como base el valor ofertado anteriormente, resultando como adjudicatario el postor que ofrezca el precio más alto.</w:t>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numPr>
          <w:ilvl w:val="1"/>
          <w:numId w:val="4"/>
        </w:numPr>
        <w:spacing w:line="276" w:lineRule="auto"/>
        <w:ind w:left="0" w:firstLine="0"/>
        <w:jc w:val="both"/>
        <w:rPr/>
      </w:pPr>
      <w:r w:rsidDel="00000000" w:rsidR="00000000" w:rsidRPr="00000000">
        <w:rPr>
          <w:rtl w:val="0"/>
        </w:rPr>
        <w:t xml:space="preserve"> </w:t>
      </w:r>
      <w:r w:rsidDel="00000000" w:rsidR="00000000" w:rsidRPr="00000000">
        <w:rPr>
          <w:b w:val="1"/>
          <w:rtl w:val="0"/>
        </w:rPr>
        <w:t xml:space="preserve">Integración del precio: </w:t>
      </w:r>
      <w:r w:rsidDel="00000000" w:rsidR="00000000" w:rsidRPr="00000000">
        <w:rPr>
          <w:rtl w:val="0"/>
        </w:rPr>
        <w:t xml:space="preserve">El saldo del CIEN POR CIENTO (100%) del precio de venta, será cancelado por el comprador, en el término de CINCO (5) días hábiles contados a partir de la notificación de la adjudicación.  Dicho porcentaje deberá abonarse mediante depósito de dinero en efectivo en</w:t>
      </w:r>
      <w:r w:rsidDel="00000000" w:rsidR="00000000" w:rsidRPr="00000000">
        <w:rPr>
          <w:color w:val="000000"/>
          <w:rtl w:val="0"/>
        </w:rPr>
        <w:t xml:space="preserve"> el Banco del Chubut S.A., a la orden de Petrominera Chubut S.E.</w:t>
      </w:r>
      <w:r w:rsidDel="00000000" w:rsidR="00000000" w:rsidRPr="00000000">
        <w:rPr>
          <w:color w:val="000000"/>
          <w:highlight w:val="white"/>
          <w:rtl w:val="0"/>
        </w:rPr>
        <w:t xml:space="preserve"> </w:t>
      </w:r>
      <w:r w:rsidDel="00000000" w:rsidR="00000000" w:rsidRPr="00000000">
        <w:rPr>
          <w:highlight w:val="white"/>
          <w:rtl w:val="0"/>
        </w:rPr>
        <w:t xml:space="preserve">PETROMINERA CHUBUT S.E. (BANCO CHUBUT SA; Suc.: 06; Cta.: 202679/2; CBU: 08300065 07002026790023; CUIT: 30-99928434-1)</w:t>
      </w:r>
      <w:r w:rsidDel="00000000" w:rsidR="00000000" w:rsidRPr="00000000">
        <w:rPr>
          <w:color w:val="000000"/>
          <w:highlight w:val="white"/>
          <w:rtl w:val="0"/>
        </w:rPr>
        <w:t xml:space="preserve">.</w:t>
      </w:r>
      <w:r w:rsidDel="00000000" w:rsidR="00000000" w:rsidRPr="00000000">
        <w:rPr>
          <w:highlight w:val="white"/>
          <w:rtl w:val="0"/>
        </w:rPr>
        <w:t xml:space="preserve"> </w:t>
      </w:r>
      <w:r w:rsidDel="00000000" w:rsidR="00000000" w:rsidRPr="00000000">
        <w:rPr>
          <w:rtl w:val="0"/>
        </w:rPr>
        <w:t xml:space="preserve">En caso de incumplimiento Petrominera Chubut S.E., podrá cancelar la adjudicación y otorgar la misma a la segunda oferta considerada en orden de prioridad, y de esta manera sucesivamente.</w:t>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numPr>
          <w:ilvl w:val="1"/>
          <w:numId w:val="4"/>
        </w:numPr>
        <w:spacing w:line="276" w:lineRule="auto"/>
        <w:ind w:left="0" w:firstLine="0"/>
        <w:jc w:val="both"/>
        <w:rPr/>
      </w:pPr>
      <w:r w:rsidDel="00000000" w:rsidR="00000000" w:rsidRPr="00000000">
        <w:rPr>
          <w:rtl w:val="0"/>
        </w:rPr>
        <w:t xml:space="preserve"> </w:t>
      </w:r>
      <w:r w:rsidDel="00000000" w:rsidR="00000000" w:rsidRPr="00000000">
        <w:rPr>
          <w:b w:val="1"/>
          <w:rtl w:val="0"/>
        </w:rPr>
        <w:t xml:space="preserve">Transferencia del automotor: </w:t>
      </w:r>
      <w:r w:rsidDel="00000000" w:rsidR="00000000" w:rsidRPr="00000000">
        <w:rPr>
          <w:rtl w:val="0"/>
        </w:rPr>
        <w:t xml:space="preserve">Dentro de los CINCO (5) días hábiles posteriores a la notificación de la adjudicación, el oferente deberá concurrir a Petrominera Chubut S.E., munido de comprobante de pago y una vez acreditado el pago en la cuenta de Petrominera Chubut S.E., se autorizará a la suscripción de la documentación para iniciar la transferencia correspondiente, que se encontrará a su exclusiva costa y cargo. El vehículo será inscripto a nombre del adquirente.  </w:t>
      </w:r>
    </w:p>
    <w:p w:rsidR="00000000" w:rsidDel="00000000" w:rsidP="00000000" w:rsidRDefault="00000000" w:rsidRPr="00000000" w14:paraId="00000044">
      <w:pPr>
        <w:spacing w:line="276" w:lineRule="auto"/>
        <w:jc w:val="both"/>
        <w:rPr/>
      </w:pPr>
      <w:r w:rsidDel="00000000" w:rsidR="00000000" w:rsidRPr="00000000">
        <w:rPr>
          <w:rtl w:val="0"/>
        </w:rPr>
      </w:r>
    </w:p>
    <w:p w:rsidR="00000000" w:rsidDel="00000000" w:rsidP="00000000" w:rsidRDefault="00000000" w:rsidRPr="00000000" w14:paraId="00000045">
      <w:pPr>
        <w:numPr>
          <w:ilvl w:val="1"/>
          <w:numId w:val="4"/>
        </w:numPr>
        <w:spacing w:line="276" w:lineRule="auto"/>
        <w:ind w:left="0" w:firstLine="0"/>
        <w:jc w:val="both"/>
        <w:rPr/>
      </w:pPr>
      <w:r w:rsidDel="00000000" w:rsidR="00000000" w:rsidRPr="00000000">
        <w:rPr>
          <w:rtl w:val="0"/>
        </w:rPr>
        <w:t xml:space="preserve"> </w:t>
      </w:r>
      <w:r w:rsidDel="00000000" w:rsidR="00000000" w:rsidRPr="00000000">
        <w:rPr>
          <w:b w:val="1"/>
          <w:rtl w:val="0"/>
        </w:rPr>
        <w:t xml:space="preserve">Forma y plazo para el retiro de los vehículos: </w:t>
      </w:r>
      <w:r w:rsidDel="00000000" w:rsidR="00000000" w:rsidRPr="00000000">
        <w:rPr>
          <w:rtl w:val="0"/>
        </w:rPr>
        <w:t xml:space="preserve">El comprador deberá retirar el/los vehículos adquiridos, dentro del plazo de CINCO (5) días hábiles posteriores a la fecha de realización de la transferencia de dominio, munido de documento nacional de identidad, cédula de identificación del automotor, título de propiedad del mismo a nombre del adjudicatario, y  Certificado de Transferencia de Automotores (CETA), en la sede social de Petrominera Chubut S.E. El retiro del/los rodados de la dependencia mencionada, y/o del lugar designado para ser retirados, implica plena aceptación por parte del adjudicatario del estado de los mismos. Los gastos de retiro estarán a cargo del adjudicatario.</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08" w:firstLine="0"/>
        <w:rPr>
          <w:color w:val="000000"/>
        </w:rPr>
      </w:pPr>
      <w:r w:rsidDel="00000000" w:rsidR="00000000" w:rsidRPr="00000000">
        <w:rPr>
          <w:rtl w:val="0"/>
        </w:rPr>
      </w:r>
    </w:p>
    <w:p w:rsidR="00000000" w:rsidDel="00000000" w:rsidP="00000000" w:rsidRDefault="00000000" w:rsidRPr="00000000" w14:paraId="00000047">
      <w:pPr>
        <w:numPr>
          <w:ilvl w:val="1"/>
          <w:numId w:val="4"/>
        </w:numPr>
        <w:spacing w:line="276" w:lineRule="auto"/>
        <w:ind w:left="0" w:firstLine="0"/>
        <w:jc w:val="both"/>
        <w:rPr/>
      </w:pPr>
      <w:r w:rsidDel="00000000" w:rsidR="00000000" w:rsidRPr="00000000">
        <w:rPr>
          <w:rtl w:val="0"/>
        </w:rPr>
        <w:t xml:space="preserve"> </w:t>
      </w:r>
      <w:r w:rsidDel="00000000" w:rsidR="00000000" w:rsidRPr="00000000">
        <w:rPr>
          <w:b w:val="1"/>
          <w:rtl w:val="0"/>
        </w:rPr>
        <w:t xml:space="preserve">De las multas: </w:t>
      </w:r>
      <w:r w:rsidDel="00000000" w:rsidR="00000000" w:rsidRPr="00000000">
        <w:rPr>
          <w:rtl w:val="0"/>
        </w:rPr>
        <w:t xml:space="preserve">Se impondrá una multa diaria equivalente al UNO POR CIENTO (1%)  por día corrido de demora sobre el valor de venta del rodado/s a retirar, hasta un máximo de TREINTA (30) días, en concepto de demora cuando este no se haya realizado en el plazo establecido en el presente pliego de bases y condiciones particulares los bienes no podrán retirarse hasta tanto no se acredite el pago de la mencionada penalidad.  </w:t>
      </w:r>
    </w:p>
    <w:p w:rsidR="00000000" w:rsidDel="00000000" w:rsidP="00000000" w:rsidRDefault="00000000" w:rsidRPr="00000000" w14:paraId="00000048">
      <w:pPr>
        <w:tabs>
          <w:tab w:val="left" w:leader="none" w:pos="15"/>
          <w:tab w:val="left" w:leader="none" w:pos="1455"/>
          <w:tab w:val="left" w:leader="none" w:pos="1635"/>
        </w:tabs>
        <w:spacing w:line="276" w:lineRule="auto"/>
        <w:ind w:left="15" w:firstLine="0"/>
        <w:jc w:val="both"/>
        <w:rPr/>
      </w:pPr>
      <w:r w:rsidDel="00000000" w:rsidR="00000000" w:rsidRPr="00000000">
        <w:rPr>
          <w:rtl w:val="0"/>
        </w:rPr>
        <w:t xml:space="preserve">Vencido el plazo establecido en el párrafo anterior, el organismo procederá a la enajenación de los bienes conforme las normas que rigen las ventas por cuenta del estado, sin derecho a reclamación alguna por parte del adjudicatario.</w:t>
      </w:r>
    </w:p>
    <w:p w:rsidR="00000000" w:rsidDel="00000000" w:rsidP="00000000" w:rsidRDefault="00000000" w:rsidRPr="00000000" w14:paraId="00000049">
      <w:pPr>
        <w:tabs>
          <w:tab w:val="left" w:leader="none" w:pos="15"/>
          <w:tab w:val="left" w:leader="none" w:pos="1455"/>
          <w:tab w:val="left" w:leader="none" w:pos="1635"/>
        </w:tabs>
        <w:spacing w:line="276" w:lineRule="auto"/>
        <w:ind w:left="15" w:firstLine="0"/>
        <w:jc w:val="both"/>
        <w:rPr/>
      </w:pPr>
      <w:r w:rsidDel="00000000" w:rsidR="00000000" w:rsidRPr="00000000">
        <w:rPr>
          <w:rtl w:val="0"/>
        </w:rPr>
      </w:r>
    </w:p>
    <w:p w:rsidR="00000000" w:rsidDel="00000000" w:rsidP="00000000" w:rsidRDefault="00000000" w:rsidRPr="00000000" w14:paraId="0000004A">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4B">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4C">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4D">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4E">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4F">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0">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1">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2">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3">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4">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5">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6">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7">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8">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9">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A">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B">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C">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D">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E">
      <w:pPr>
        <w:tabs>
          <w:tab w:val="left" w:leader="none" w:pos="15"/>
          <w:tab w:val="left" w:leader="none" w:pos="1455"/>
          <w:tab w:val="left" w:leader="none" w:pos="1635"/>
        </w:tabs>
        <w:spacing w:line="276" w:lineRule="auto"/>
        <w:jc w:val="both"/>
        <w:rPr/>
      </w:pPr>
      <w:r w:rsidDel="00000000" w:rsidR="00000000" w:rsidRPr="00000000">
        <w:rPr>
          <w:rtl w:val="0"/>
        </w:rPr>
      </w:r>
    </w:p>
    <w:p w:rsidR="00000000" w:rsidDel="00000000" w:rsidP="00000000" w:rsidRDefault="00000000" w:rsidRPr="00000000" w14:paraId="0000005F">
      <w:pPr>
        <w:tabs>
          <w:tab w:val="left" w:leader="none" w:pos="0"/>
          <w:tab w:val="left" w:leader="none" w:pos="1440"/>
          <w:tab w:val="left" w:leader="none" w:pos="1620"/>
        </w:tabs>
        <w:spacing w:line="276" w:lineRule="auto"/>
        <w:jc w:val="center"/>
        <w:rPr>
          <w:b w:val="1"/>
        </w:rPr>
      </w:pPr>
      <w:r w:rsidDel="00000000" w:rsidR="00000000" w:rsidRPr="00000000">
        <w:rPr>
          <w:rtl w:val="0"/>
        </w:rPr>
      </w:r>
    </w:p>
    <w:p w:rsidR="00000000" w:rsidDel="00000000" w:rsidP="00000000" w:rsidRDefault="00000000" w:rsidRPr="00000000" w14:paraId="00000060">
      <w:pPr>
        <w:tabs>
          <w:tab w:val="left" w:leader="none" w:pos="0"/>
          <w:tab w:val="left" w:leader="none" w:pos="1440"/>
          <w:tab w:val="left" w:leader="none" w:pos="1620"/>
        </w:tabs>
        <w:spacing w:line="276" w:lineRule="auto"/>
        <w:jc w:val="center"/>
        <w:rPr>
          <w:b w:val="1"/>
        </w:rPr>
      </w:pPr>
      <w:r w:rsidDel="00000000" w:rsidR="00000000" w:rsidRPr="00000000">
        <w:rPr>
          <w:rtl w:val="0"/>
        </w:rPr>
      </w:r>
    </w:p>
    <w:p w:rsidR="00000000" w:rsidDel="00000000" w:rsidP="00000000" w:rsidRDefault="00000000" w:rsidRPr="00000000" w14:paraId="00000061">
      <w:pPr>
        <w:tabs>
          <w:tab w:val="left" w:leader="none" w:pos="0"/>
          <w:tab w:val="left" w:leader="none" w:pos="1440"/>
          <w:tab w:val="left" w:leader="none" w:pos="1620"/>
        </w:tabs>
        <w:spacing w:line="276" w:lineRule="auto"/>
        <w:jc w:val="center"/>
        <w:rPr>
          <w:b w:val="1"/>
        </w:rPr>
      </w:pPr>
      <w:r w:rsidDel="00000000" w:rsidR="00000000" w:rsidRPr="00000000">
        <w:rPr>
          <w:b w:val="1"/>
          <w:rtl w:val="0"/>
        </w:rPr>
        <w:t xml:space="preserve">Anexo I - Datos del participante</w:t>
      </w:r>
    </w:p>
    <w:p w:rsidR="00000000" w:rsidDel="00000000" w:rsidP="00000000" w:rsidRDefault="00000000" w:rsidRPr="00000000" w14:paraId="00000062">
      <w:pPr>
        <w:numPr>
          <w:ilvl w:val="0"/>
          <w:numId w:val="5"/>
        </w:numPr>
        <w:tabs>
          <w:tab w:val="left" w:leader="none" w:pos="0"/>
          <w:tab w:val="left" w:leader="none" w:pos="1440"/>
          <w:tab w:val="left" w:leader="none" w:pos="1620"/>
        </w:tabs>
        <w:spacing w:line="276" w:lineRule="auto"/>
        <w:ind w:left="720" w:hanging="360"/>
        <w:jc w:val="both"/>
        <w:rPr>
          <w:b w:val="1"/>
        </w:rPr>
      </w:pPr>
      <w:r w:rsidDel="00000000" w:rsidR="00000000" w:rsidRPr="00000000">
        <w:rPr>
          <w:b w:val="1"/>
          <w:rtl w:val="0"/>
        </w:rPr>
        <w:t xml:space="preserve">Personas físicas  y apoderados </w:t>
      </w:r>
    </w:p>
    <w:p w:rsidR="00000000" w:rsidDel="00000000" w:rsidP="00000000" w:rsidRDefault="00000000" w:rsidRPr="00000000" w14:paraId="00000063">
      <w:pPr>
        <w:numPr>
          <w:ilvl w:val="0"/>
          <w:numId w:val="6"/>
        </w:numPr>
        <w:spacing w:line="276" w:lineRule="auto"/>
        <w:ind w:left="1003" w:hanging="360"/>
        <w:jc w:val="both"/>
        <w:rPr/>
      </w:pPr>
      <w:r w:rsidDel="00000000" w:rsidR="00000000" w:rsidRPr="00000000">
        <w:rPr>
          <w:rtl w:val="0"/>
        </w:rPr>
        <w:t xml:space="preserve">Nombre completo:</w:t>
      </w:r>
    </w:p>
    <w:p w:rsidR="00000000" w:rsidDel="00000000" w:rsidP="00000000" w:rsidRDefault="00000000" w:rsidRPr="00000000" w14:paraId="00000064">
      <w:pPr>
        <w:numPr>
          <w:ilvl w:val="0"/>
          <w:numId w:val="7"/>
        </w:numPr>
        <w:spacing w:line="276" w:lineRule="auto"/>
        <w:ind w:left="1003" w:hanging="360"/>
        <w:jc w:val="both"/>
        <w:rPr/>
      </w:pPr>
      <w:r w:rsidDel="00000000" w:rsidR="00000000" w:rsidRPr="00000000">
        <w:rPr>
          <w:rtl w:val="0"/>
        </w:rPr>
        <w:t xml:space="preserve">Fecha de nacimiento:</w:t>
      </w:r>
    </w:p>
    <w:p w:rsidR="00000000" w:rsidDel="00000000" w:rsidP="00000000" w:rsidRDefault="00000000" w:rsidRPr="00000000" w14:paraId="00000065">
      <w:pPr>
        <w:numPr>
          <w:ilvl w:val="0"/>
          <w:numId w:val="8"/>
        </w:numPr>
        <w:spacing w:line="276" w:lineRule="auto"/>
        <w:ind w:left="1003" w:hanging="360"/>
        <w:jc w:val="both"/>
        <w:rPr/>
      </w:pPr>
      <w:r w:rsidDel="00000000" w:rsidR="00000000" w:rsidRPr="00000000">
        <w:rPr>
          <w:rtl w:val="0"/>
        </w:rPr>
        <w:t xml:space="preserve">Nacionalidad:</w:t>
      </w:r>
    </w:p>
    <w:p w:rsidR="00000000" w:rsidDel="00000000" w:rsidP="00000000" w:rsidRDefault="00000000" w:rsidRPr="00000000" w14:paraId="00000066">
      <w:pPr>
        <w:numPr>
          <w:ilvl w:val="0"/>
          <w:numId w:val="8"/>
        </w:numPr>
        <w:spacing w:line="276" w:lineRule="auto"/>
        <w:ind w:left="1003" w:hanging="360"/>
        <w:jc w:val="both"/>
        <w:rPr/>
      </w:pPr>
      <w:r w:rsidDel="00000000" w:rsidR="00000000" w:rsidRPr="00000000">
        <w:rPr>
          <w:rtl w:val="0"/>
        </w:rPr>
        <w:t xml:space="preserve">Profesión:</w:t>
      </w:r>
    </w:p>
    <w:p w:rsidR="00000000" w:rsidDel="00000000" w:rsidP="00000000" w:rsidRDefault="00000000" w:rsidRPr="00000000" w14:paraId="00000067">
      <w:pPr>
        <w:numPr>
          <w:ilvl w:val="0"/>
          <w:numId w:val="8"/>
        </w:numPr>
        <w:spacing w:line="276" w:lineRule="auto"/>
        <w:ind w:left="1003" w:hanging="360"/>
        <w:jc w:val="both"/>
        <w:rPr/>
      </w:pPr>
      <w:r w:rsidDel="00000000" w:rsidR="00000000" w:rsidRPr="00000000">
        <w:rPr>
          <w:rtl w:val="0"/>
        </w:rPr>
        <w:t xml:space="preserve">Domicilio real:</w:t>
      </w:r>
    </w:p>
    <w:p w:rsidR="00000000" w:rsidDel="00000000" w:rsidP="00000000" w:rsidRDefault="00000000" w:rsidRPr="00000000" w14:paraId="00000068">
      <w:pPr>
        <w:numPr>
          <w:ilvl w:val="0"/>
          <w:numId w:val="8"/>
        </w:numPr>
        <w:spacing w:line="276" w:lineRule="auto"/>
        <w:ind w:left="1003" w:hanging="360"/>
        <w:jc w:val="both"/>
        <w:rPr/>
      </w:pPr>
      <w:r w:rsidDel="00000000" w:rsidR="00000000" w:rsidRPr="00000000">
        <w:rPr>
          <w:rtl w:val="0"/>
        </w:rPr>
        <w:t xml:space="preserve">Domicilio constituido en la ciudad de Comodoro Rivadavia donde serán válidas todas las notificaciones de la subasta PMC 01/2021</w:t>
      </w:r>
    </w:p>
    <w:p w:rsidR="00000000" w:rsidDel="00000000" w:rsidP="00000000" w:rsidRDefault="00000000" w:rsidRPr="00000000" w14:paraId="00000069">
      <w:pPr>
        <w:numPr>
          <w:ilvl w:val="0"/>
          <w:numId w:val="8"/>
        </w:numPr>
        <w:spacing w:line="276" w:lineRule="auto"/>
        <w:ind w:left="1003" w:hanging="360"/>
        <w:jc w:val="both"/>
        <w:rPr/>
      </w:pPr>
      <w:r w:rsidDel="00000000" w:rsidR="00000000" w:rsidRPr="00000000">
        <w:rPr>
          <w:rtl w:val="0"/>
        </w:rPr>
        <w:t xml:space="preserve">Estado civil:</w:t>
      </w:r>
    </w:p>
    <w:p w:rsidR="00000000" w:rsidDel="00000000" w:rsidP="00000000" w:rsidRDefault="00000000" w:rsidRPr="00000000" w14:paraId="0000006A">
      <w:pPr>
        <w:numPr>
          <w:ilvl w:val="0"/>
          <w:numId w:val="8"/>
        </w:numPr>
        <w:tabs>
          <w:tab w:val="left" w:leader="none" w:pos="1440"/>
        </w:tabs>
        <w:spacing w:line="276" w:lineRule="auto"/>
        <w:ind w:left="1003" w:hanging="360"/>
        <w:jc w:val="both"/>
        <w:rPr/>
      </w:pPr>
      <w:r w:rsidDel="00000000" w:rsidR="00000000" w:rsidRPr="00000000">
        <w:rPr>
          <w:rtl w:val="0"/>
        </w:rPr>
        <w:t xml:space="preserve">Número de DNI: </w:t>
      </w:r>
    </w:p>
    <w:p w:rsidR="00000000" w:rsidDel="00000000" w:rsidP="00000000" w:rsidRDefault="00000000" w:rsidRPr="00000000" w14:paraId="0000006B">
      <w:pPr>
        <w:numPr>
          <w:ilvl w:val="0"/>
          <w:numId w:val="8"/>
        </w:numPr>
        <w:tabs>
          <w:tab w:val="left" w:leader="none" w:pos="1440"/>
        </w:tabs>
        <w:spacing w:line="276" w:lineRule="auto"/>
        <w:ind w:left="1003" w:hanging="360"/>
        <w:jc w:val="both"/>
        <w:rPr/>
      </w:pPr>
      <w:r w:rsidDel="00000000" w:rsidR="00000000" w:rsidRPr="00000000">
        <w:rPr>
          <w:rtl w:val="0"/>
        </w:rPr>
        <w:t xml:space="preserve">Número de C.U.I.T. o C.U.I.L.:</w:t>
      </w:r>
    </w:p>
    <w:p w:rsidR="00000000" w:rsidDel="00000000" w:rsidP="00000000" w:rsidRDefault="00000000" w:rsidRPr="00000000" w14:paraId="0000006C">
      <w:pPr>
        <w:tabs>
          <w:tab w:val="left" w:leader="none" w:pos="2083"/>
        </w:tabs>
        <w:spacing w:line="276" w:lineRule="auto"/>
        <w:ind w:left="643" w:firstLine="0"/>
        <w:jc w:val="both"/>
        <w:rPr>
          <w:b w:val="1"/>
        </w:rPr>
      </w:pPr>
      <w:r w:rsidDel="00000000" w:rsidR="00000000" w:rsidRPr="00000000">
        <w:rPr>
          <w:rtl w:val="0"/>
        </w:rPr>
      </w:r>
    </w:p>
    <w:p w:rsidR="00000000" w:rsidDel="00000000" w:rsidP="00000000" w:rsidRDefault="00000000" w:rsidRPr="00000000" w14:paraId="0000006D">
      <w:pPr>
        <w:tabs>
          <w:tab w:val="left" w:leader="none" w:pos="1440"/>
        </w:tabs>
        <w:spacing w:line="276" w:lineRule="auto"/>
        <w:jc w:val="both"/>
        <w:rPr/>
      </w:pPr>
      <w:r w:rsidDel="00000000" w:rsidR="00000000" w:rsidRPr="00000000">
        <w:rPr>
          <w:rtl w:val="0"/>
        </w:rPr>
        <w:t xml:space="preserve">Se deberá adjuntar fotocopia de DNI., constancia de C.U.I.T., C.U.I.L. o CDI y declaración jurada de habilidad para contratar. (anexo II).</w:t>
      </w:r>
    </w:p>
    <w:p w:rsidR="00000000" w:rsidDel="00000000" w:rsidP="00000000" w:rsidRDefault="00000000" w:rsidRPr="00000000" w14:paraId="0000006E">
      <w:pPr>
        <w:tabs>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6F">
      <w:pPr>
        <w:numPr>
          <w:ilvl w:val="0"/>
          <w:numId w:val="5"/>
        </w:numPr>
        <w:tabs>
          <w:tab w:val="left" w:leader="none" w:pos="0"/>
          <w:tab w:val="left" w:leader="none" w:pos="1440"/>
          <w:tab w:val="left" w:leader="none" w:pos="1620"/>
        </w:tabs>
        <w:spacing w:line="276" w:lineRule="auto"/>
        <w:ind w:left="720" w:hanging="360"/>
        <w:jc w:val="both"/>
        <w:rPr>
          <w:b w:val="1"/>
        </w:rPr>
      </w:pPr>
      <w:r w:rsidDel="00000000" w:rsidR="00000000" w:rsidRPr="00000000">
        <w:rPr>
          <w:b w:val="1"/>
          <w:rtl w:val="0"/>
        </w:rPr>
        <w:t xml:space="preserve">Personas jurídicas</w:t>
      </w:r>
    </w:p>
    <w:p w:rsidR="00000000" w:rsidDel="00000000" w:rsidP="00000000" w:rsidRDefault="00000000" w:rsidRPr="00000000" w14:paraId="00000070">
      <w:pPr>
        <w:numPr>
          <w:ilvl w:val="2"/>
          <w:numId w:val="1"/>
        </w:numPr>
        <w:tabs>
          <w:tab w:val="left" w:leader="none" w:pos="1727"/>
          <w:tab w:val="left" w:leader="none" w:pos="2700"/>
        </w:tabs>
        <w:spacing w:line="276" w:lineRule="auto"/>
        <w:ind w:left="1620" w:hanging="900"/>
        <w:jc w:val="both"/>
        <w:rPr/>
      </w:pPr>
      <w:r w:rsidDel="00000000" w:rsidR="00000000" w:rsidRPr="00000000">
        <w:rPr>
          <w:rtl w:val="0"/>
        </w:rPr>
        <w:t xml:space="preserve">Razón social</w:t>
      </w:r>
    </w:p>
    <w:p w:rsidR="00000000" w:rsidDel="00000000" w:rsidP="00000000" w:rsidRDefault="00000000" w:rsidRPr="00000000" w14:paraId="00000071">
      <w:pPr>
        <w:numPr>
          <w:ilvl w:val="2"/>
          <w:numId w:val="1"/>
        </w:numPr>
        <w:tabs>
          <w:tab w:val="left" w:leader="none" w:pos="1727"/>
          <w:tab w:val="left" w:leader="none" w:pos="2700"/>
        </w:tabs>
        <w:spacing w:line="276" w:lineRule="auto"/>
        <w:ind w:left="1620" w:hanging="900"/>
        <w:jc w:val="both"/>
        <w:rPr/>
      </w:pPr>
      <w:r w:rsidDel="00000000" w:rsidR="00000000" w:rsidRPr="00000000">
        <w:rPr>
          <w:rtl w:val="0"/>
        </w:rPr>
        <w:t xml:space="preserve">Domicilio legal y constituido en jurisdicción del lugar de la subasta</w:t>
      </w:r>
    </w:p>
    <w:p w:rsidR="00000000" w:rsidDel="00000000" w:rsidP="00000000" w:rsidRDefault="00000000" w:rsidRPr="00000000" w14:paraId="00000072">
      <w:pPr>
        <w:numPr>
          <w:ilvl w:val="2"/>
          <w:numId w:val="1"/>
        </w:numPr>
        <w:tabs>
          <w:tab w:val="left" w:leader="none" w:pos="1727"/>
          <w:tab w:val="left" w:leader="none" w:pos="2700"/>
        </w:tabs>
        <w:spacing w:line="276" w:lineRule="auto"/>
        <w:ind w:left="1620" w:hanging="900"/>
        <w:jc w:val="both"/>
        <w:rPr/>
      </w:pPr>
      <w:r w:rsidDel="00000000" w:rsidR="00000000" w:rsidRPr="00000000">
        <w:rPr>
          <w:rtl w:val="0"/>
        </w:rPr>
        <w:t xml:space="preserve">Lugar y fecha de constitución y datos de inscripción registral</w:t>
      </w:r>
    </w:p>
    <w:p w:rsidR="00000000" w:rsidDel="00000000" w:rsidP="00000000" w:rsidRDefault="00000000" w:rsidRPr="00000000" w14:paraId="00000073">
      <w:pPr>
        <w:numPr>
          <w:ilvl w:val="2"/>
          <w:numId w:val="1"/>
        </w:numPr>
        <w:tabs>
          <w:tab w:val="left" w:leader="none" w:pos="1727"/>
          <w:tab w:val="left" w:leader="none" w:pos="2700"/>
        </w:tabs>
        <w:spacing w:line="276" w:lineRule="auto"/>
        <w:ind w:left="1620" w:hanging="900"/>
        <w:jc w:val="both"/>
        <w:rPr/>
      </w:pPr>
      <w:r w:rsidDel="00000000" w:rsidR="00000000" w:rsidRPr="00000000">
        <w:rPr>
          <w:rtl w:val="0"/>
        </w:rPr>
        <w:t xml:space="preserve">Nómina de los actuales integrantes de sus órganos de administración</w:t>
      </w:r>
    </w:p>
    <w:p w:rsidR="00000000" w:rsidDel="00000000" w:rsidP="00000000" w:rsidRDefault="00000000" w:rsidRPr="00000000" w14:paraId="00000074">
      <w:pPr>
        <w:numPr>
          <w:ilvl w:val="2"/>
          <w:numId w:val="1"/>
        </w:numPr>
        <w:tabs>
          <w:tab w:val="left" w:leader="none" w:pos="1727"/>
          <w:tab w:val="left" w:leader="none" w:pos="2700"/>
        </w:tabs>
        <w:spacing w:line="276" w:lineRule="auto"/>
        <w:ind w:left="1620" w:hanging="900"/>
        <w:jc w:val="both"/>
        <w:rPr/>
      </w:pPr>
      <w:r w:rsidDel="00000000" w:rsidR="00000000" w:rsidRPr="00000000">
        <w:rPr>
          <w:rtl w:val="0"/>
        </w:rPr>
        <w:t xml:space="preserve">Número de C.U.I.T.</w:t>
      </w:r>
    </w:p>
    <w:p w:rsidR="00000000" w:rsidDel="00000000" w:rsidP="00000000" w:rsidRDefault="00000000" w:rsidRPr="00000000" w14:paraId="00000075">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76">
      <w:pPr>
        <w:tabs>
          <w:tab w:val="left" w:leader="none" w:pos="0"/>
          <w:tab w:val="left" w:leader="none" w:pos="1440"/>
          <w:tab w:val="left" w:leader="none" w:pos="1620"/>
        </w:tabs>
        <w:spacing w:line="276" w:lineRule="auto"/>
        <w:jc w:val="both"/>
        <w:rPr/>
      </w:pPr>
      <w:r w:rsidDel="00000000" w:rsidR="00000000" w:rsidRPr="00000000">
        <w:rPr>
          <w:rtl w:val="0"/>
        </w:rPr>
        <w:t xml:space="preserve">Se deberá presentar copia certificada del estatuto social, poder del representante o copia certificada del acta de directorio, copia de DNI, constancia de C.U.I.T. y declaración jurada de habilidad para contratar (anexo ll)</w:t>
      </w:r>
    </w:p>
    <w:p w:rsidR="00000000" w:rsidDel="00000000" w:rsidP="00000000" w:rsidRDefault="00000000" w:rsidRPr="00000000" w14:paraId="00000077">
      <w:pPr>
        <w:tabs>
          <w:tab w:val="left" w:leader="none" w:pos="0"/>
          <w:tab w:val="left" w:leader="none" w:pos="1440"/>
          <w:tab w:val="left" w:leader="none" w:pos="1620"/>
        </w:tabs>
        <w:spacing w:line="276" w:lineRule="auto"/>
        <w:jc w:val="both"/>
        <w:rPr/>
      </w:pPr>
      <w:r w:rsidDel="00000000" w:rsidR="00000000" w:rsidRPr="00000000">
        <w:rPr>
          <w:rtl w:val="0"/>
        </w:rPr>
      </w:r>
    </w:p>
    <w:p w:rsidR="00000000" w:rsidDel="00000000" w:rsidP="00000000" w:rsidRDefault="00000000" w:rsidRPr="00000000" w14:paraId="00000078">
      <w:pPr>
        <w:numPr>
          <w:ilvl w:val="0"/>
          <w:numId w:val="5"/>
        </w:numPr>
        <w:tabs>
          <w:tab w:val="left" w:leader="none" w:pos="0"/>
          <w:tab w:val="left" w:leader="none" w:pos="1440"/>
          <w:tab w:val="left" w:leader="none" w:pos="1620"/>
        </w:tabs>
        <w:spacing w:line="276" w:lineRule="auto"/>
        <w:ind w:left="720" w:hanging="360"/>
        <w:jc w:val="both"/>
        <w:rPr>
          <w:b w:val="1"/>
        </w:rPr>
      </w:pPr>
      <w:r w:rsidDel="00000000" w:rsidR="00000000" w:rsidRPr="00000000">
        <w:rPr>
          <w:b w:val="1"/>
          <w:rtl w:val="0"/>
        </w:rPr>
        <w:t xml:space="preserve">Personas jurídicas en formación</w:t>
      </w:r>
    </w:p>
    <w:p w:rsidR="00000000" w:rsidDel="00000000" w:rsidP="00000000" w:rsidRDefault="00000000" w:rsidRPr="00000000" w14:paraId="00000079">
      <w:pPr>
        <w:numPr>
          <w:ilvl w:val="2"/>
          <w:numId w:val="3"/>
        </w:numPr>
        <w:tabs>
          <w:tab w:val="left" w:leader="none" w:pos="1727"/>
          <w:tab w:val="left" w:leader="none" w:pos="2700"/>
        </w:tabs>
        <w:spacing w:line="276" w:lineRule="auto"/>
        <w:ind w:left="1620" w:hanging="900"/>
        <w:jc w:val="both"/>
        <w:rPr/>
      </w:pPr>
      <w:r w:rsidDel="00000000" w:rsidR="00000000" w:rsidRPr="00000000">
        <w:rPr>
          <w:rtl w:val="0"/>
        </w:rPr>
        <w:t xml:space="preserve">Fecha y objeto del contrato constitutivo</w:t>
      </w:r>
    </w:p>
    <w:p w:rsidR="00000000" w:rsidDel="00000000" w:rsidP="00000000" w:rsidRDefault="00000000" w:rsidRPr="00000000" w14:paraId="0000007A">
      <w:pPr>
        <w:numPr>
          <w:ilvl w:val="2"/>
          <w:numId w:val="3"/>
        </w:numPr>
        <w:tabs>
          <w:tab w:val="left" w:leader="none" w:pos="1727"/>
          <w:tab w:val="left" w:leader="none" w:pos="2700"/>
        </w:tabs>
        <w:spacing w:line="276" w:lineRule="auto"/>
        <w:ind w:left="1620" w:hanging="900"/>
        <w:jc w:val="both"/>
        <w:rPr/>
      </w:pPr>
      <w:r w:rsidDel="00000000" w:rsidR="00000000" w:rsidRPr="00000000">
        <w:rPr>
          <w:rtl w:val="0"/>
        </w:rPr>
        <w:t xml:space="preserve">Número de expediente y fecha de la constancia de inscripción del trámite de inscripción en el registro correspondiente</w:t>
      </w:r>
    </w:p>
    <w:p w:rsidR="00000000" w:rsidDel="00000000" w:rsidP="00000000" w:rsidRDefault="00000000" w:rsidRPr="00000000" w14:paraId="0000007B">
      <w:pPr>
        <w:numPr>
          <w:ilvl w:val="2"/>
          <w:numId w:val="3"/>
        </w:numPr>
        <w:tabs>
          <w:tab w:val="left" w:leader="none" w:pos="1727"/>
          <w:tab w:val="left" w:leader="none" w:pos="2700"/>
        </w:tabs>
        <w:spacing w:line="276" w:lineRule="auto"/>
        <w:ind w:left="1620" w:hanging="900"/>
        <w:jc w:val="both"/>
        <w:rPr/>
      </w:pPr>
      <w:r w:rsidDel="00000000" w:rsidR="00000000" w:rsidRPr="00000000">
        <w:rPr>
          <w:rtl w:val="0"/>
        </w:rPr>
        <w:t xml:space="preserve">Número de C.U.I.T.</w:t>
      </w:r>
    </w:p>
    <w:p w:rsidR="00000000" w:rsidDel="00000000" w:rsidP="00000000" w:rsidRDefault="00000000" w:rsidRPr="00000000" w14:paraId="0000007C">
      <w:pPr>
        <w:tabs>
          <w:tab w:val="left" w:leader="none" w:pos="643"/>
          <w:tab w:val="left" w:leader="none" w:pos="1723"/>
          <w:tab w:val="left" w:leader="none" w:pos="2083"/>
        </w:tabs>
        <w:spacing w:line="276" w:lineRule="auto"/>
        <w:ind w:left="643" w:firstLine="0"/>
        <w:jc w:val="both"/>
        <w:rPr/>
      </w:pPr>
      <w:r w:rsidDel="00000000" w:rsidR="00000000" w:rsidRPr="00000000">
        <w:rPr>
          <w:rtl w:val="0"/>
        </w:rPr>
      </w:r>
    </w:p>
    <w:p w:rsidR="00000000" w:rsidDel="00000000" w:rsidP="00000000" w:rsidRDefault="00000000" w:rsidRPr="00000000" w14:paraId="0000007D">
      <w:pPr>
        <w:numPr>
          <w:ilvl w:val="0"/>
          <w:numId w:val="5"/>
        </w:numPr>
        <w:tabs>
          <w:tab w:val="left" w:leader="none" w:pos="0"/>
          <w:tab w:val="left" w:leader="none" w:pos="1080"/>
          <w:tab w:val="left" w:leader="none" w:pos="1440"/>
        </w:tabs>
        <w:spacing w:line="276" w:lineRule="auto"/>
        <w:ind w:left="720" w:hanging="360"/>
        <w:jc w:val="both"/>
        <w:rPr>
          <w:b w:val="1"/>
        </w:rPr>
      </w:pPr>
      <w:r w:rsidDel="00000000" w:rsidR="00000000" w:rsidRPr="00000000">
        <w:rPr>
          <w:b w:val="1"/>
          <w:rtl w:val="0"/>
        </w:rPr>
        <w:t xml:space="preserve">Comisionista</w:t>
      </w:r>
    </w:p>
    <w:p w:rsidR="00000000" w:rsidDel="00000000" w:rsidP="00000000" w:rsidRDefault="00000000" w:rsidRPr="00000000" w14:paraId="0000007E">
      <w:pPr>
        <w:tabs>
          <w:tab w:val="left" w:leader="none" w:pos="0"/>
          <w:tab w:val="left" w:leader="none" w:pos="108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7F">
      <w:pPr>
        <w:tabs>
          <w:tab w:val="left" w:leader="none" w:pos="0"/>
          <w:tab w:val="left" w:leader="none" w:pos="1440"/>
        </w:tabs>
        <w:spacing w:line="276" w:lineRule="auto"/>
        <w:jc w:val="both"/>
        <w:rPr/>
      </w:pPr>
      <w:r w:rsidDel="00000000" w:rsidR="00000000" w:rsidRPr="00000000">
        <w:rPr>
          <w:rtl w:val="0"/>
        </w:rPr>
        <w:t xml:space="preserve">En el caso de adquirir los bienes “en comisión” el comprador deberá indicar, dentro del tercer día hábil administrativo de realizada la subasta, los datos de su comitente detallados en los puntos 1 a 3, según corresponda, en escrito firmado por ambos y adjuntando la documentación respectiva. En su defecto se lo tendrá por adjudicatario definitivo. El comitente constituirá domicilio en esa presentación.</w:t>
      </w:r>
    </w:p>
    <w:p w:rsidR="00000000" w:rsidDel="00000000" w:rsidP="00000000" w:rsidRDefault="00000000" w:rsidRPr="00000000" w14:paraId="00000080">
      <w:pPr>
        <w:spacing w:line="276" w:lineRule="auto"/>
        <w:jc w:val="both"/>
        <w:rPr/>
      </w:pPr>
      <w:r w:rsidDel="00000000" w:rsidR="00000000" w:rsidRPr="00000000">
        <w:rPr>
          <w:rtl w:val="0"/>
        </w:rPr>
        <w:t xml:space="preserve">El comprador en comisión asume el carácter de obligado principal si omite transferir en término los derechos y obligaciones previsto en el presente pliego de bases  y condiciones particulares.</w:t>
      </w:r>
    </w:p>
    <w:p w:rsidR="00000000" w:rsidDel="00000000" w:rsidP="00000000" w:rsidRDefault="00000000" w:rsidRPr="00000000" w14:paraId="00000081">
      <w:pPr>
        <w:tabs>
          <w:tab w:val="left" w:leader="none" w:pos="0"/>
          <w:tab w:val="left" w:leader="none" w:pos="1440"/>
        </w:tabs>
        <w:spacing w:line="276" w:lineRule="auto"/>
        <w:jc w:val="center"/>
        <w:rPr>
          <w:b w:val="1"/>
        </w:rPr>
      </w:pPr>
      <w:r w:rsidDel="00000000" w:rsidR="00000000" w:rsidRPr="00000000">
        <w:rPr>
          <w:rtl w:val="0"/>
        </w:rPr>
      </w:r>
    </w:p>
    <w:p w:rsidR="00000000" w:rsidDel="00000000" w:rsidP="00000000" w:rsidRDefault="00000000" w:rsidRPr="00000000" w14:paraId="00000082">
      <w:pPr>
        <w:tabs>
          <w:tab w:val="left" w:leader="none" w:pos="0"/>
          <w:tab w:val="left" w:leader="none" w:pos="1440"/>
        </w:tabs>
        <w:spacing w:line="276" w:lineRule="auto"/>
        <w:jc w:val="center"/>
        <w:rPr>
          <w:b w:val="1"/>
        </w:rPr>
      </w:pPr>
      <w:r w:rsidDel="00000000" w:rsidR="00000000" w:rsidRPr="00000000">
        <w:rPr>
          <w:b w:val="1"/>
          <w:rtl w:val="0"/>
        </w:rPr>
        <w:t xml:space="preserve">Anexo ll – Declaración jurada de habilidad para contratar</w:t>
      </w:r>
    </w:p>
    <w:p w:rsidR="00000000" w:rsidDel="00000000" w:rsidP="00000000" w:rsidRDefault="00000000" w:rsidRPr="00000000" w14:paraId="00000083">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4">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5">
      <w:pPr>
        <w:tabs>
          <w:tab w:val="left" w:leader="none" w:pos="0"/>
          <w:tab w:val="left" w:leader="none" w:pos="1440"/>
        </w:tabs>
        <w:spacing w:line="276" w:lineRule="auto"/>
        <w:jc w:val="both"/>
        <w:rPr/>
      </w:pPr>
      <w:r w:rsidDel="00000000" w:rsidR="00000000" w:rsidRPr="00000000">
        <w:rPr>
          <w:rtl w:val="0"/>
        </w:rPr>
        <w:t xml:space="preserve">C.U.I.T./C.U.I.L./CDI N°:___________________________________________________________</w:t>
      </w:r>
    </w:p>
    <w:p w:rsidR="00000000" w:rsidDel="00000000" w:rsidP="00000000" w:rsidRDefault="00000000" w:rsidRPr="00000000" w14:paraId="00000086">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7">
      <w:pPr>
        <w:tabs>
          <w:tab w:val="left" w:leader="none" w:pos="0"/>
          <w:tab w:val="left" w:leader="none" w:pos="1440"/>
        </w:tabs>
        <w:spacing w:line="276" w:lineRule="auto"/>
        <w:jc w:val="both"/>
        <w:rPr/>
      </w:pPr>
      <w:r w:rsidDel="00000000" w:rsidR="00000000" w:rsidRPr="00000000">
        <w:rPr>
          <w:rtl w:val="0"/>
        </w:rPr>
        <w:t xml:space="preserve">Nombre o razón social: ___________________________________________________</w:t>
      </w:r>
    </w:p>
    <w:p w:rsidR="00000000" w:rsidDel="00000000" w:rsidP="00000000" w:rsidRDefault="00000000" w:rsidRPr="00000000" w14:paraId="00000088">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9">
      <w:pPr>
        <w:tabs>
          <w:tab w:val="left" w:leader="none" w:pos="0"/>
          <w:tab w:val="left" w:leader="none" w:pos="1440"/>
        </w:tabs>
        <w:spacing w:line="276" w:lineRule="auto"/>
        <w:jc w:val="both"/>
        <w:rPr/>
      </w:pPr>
      <w:r w:rsidDel="00000000" w:rsidR="00000000" w:rsidRPr="00000000">
        <w:rPr>
          <w:rtl w:val="0"/>
        </w:rPr>
        <w:t xml:space="preserve">Tipo y número de documento: ____________________________________________</w:t>
      </w:r>
    </w:p>
    <w:p w:rsidR="00000000" w:rsidDel="00000000" w:rsidP="00000000" w:rsidRDefault="00000000" w:rsidRPr="00000000" w14:paraId="0000008A">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B">
      <w:pPr>
        <w:tabs>
          <w:tab w:val="left" w:leader="none" w:pos="0"/>
          <w:tab w:val="left" w:leader="none" w:pos="1440"/>
        </w:tabs>
        <w:spacing w:line="276" w:lineRule="auto"/>
        <w:jc w:val="both"/>
        <w:rPr/>
      </w:pPr>
      <w:r w:rsidDel="00000000" w:rsidR="00000000" w:rsidRPr="00000000">
        <w:rPr>
          <w:rtl w:val="0"/>
        </w:rPr>
        <w:t xml:space="preserve">Nacionalidad: _____________________________________________________________</w:t>
      </w:r>
    </w:p>
    <w:p w:rsidR="00000000" w:rsidDel="00000000" w:rsidP="00000000" w:rsidRDefault="00000000" w:rsidRPr="00000000" w14:paraId="0000008C">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D">
      <w:pPr>
        <w:tabs>
          <w:tab w:val="left" w:leader="none" w:pos="0"/>
          <w:tab w:val="left" w:leader="none" w:pos="1440"/>
        </w:tabs>
        <w:spacing w:line="276" w:lineRule="auto"/>
        <w:jc w:val="both"/>
        <w:rPr/>
      </w:pPr>
      <w:r w:rsidDel="00000000" w:rsidR="00000000" w:rsidRPr="00000000">
        <w:rPr>
          <w:rtl w:val="0"/>
        </w:rPr>
        <w:t xml:space="preserve">Profesión: __________________________________________________________________</w:t>
      </w:r>
    </w:p>
    <w:p w:rsidR="00000000" w:rsidDel="00000000" w:rsidP="00000000" w:rsidRDefault="00000000" w:rsidRPr="00000000" w14:paraId="0000008E">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8F">
      <w:pPr>
        <w:tabs>
          <w:tab w:val="left" w:leader="none" w:pos="0"/>
          <w:tab w:val="left" w:leader="none" w:pos="1440"/>
        </w:tabs>
        <w:spacing w:line="276" w:lineRule="auto"/>
        <w:jc w:val="both"/>
        <w:rPr/>
      </w:pPr>
      <w:r w:rsidDel="00000000" w:rsidR="00000000" w:rsidRPr="00000000">
        <w:rPr>
          <w:rtl w:val="0"/>
        </w:rPr>
        <w:t xml:space="preserve">Domicilio real/legal: ______________________________________________________________</w:t>
      </w:r>
    </w:p>
    <w:p w:rsidR="00000000" w:rsidDel="00000000" w:rsidP="00000000" w:rsidRDefault="00000000" w:rsidRPr="00000000" w14:paraId="00000090">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1">
      <w:pPr>
        <w:tabs>
          <w:tab w:val="left" w:leader="none" w:pos="0"/>
          <w:tab w:val="left" w:leader="none" w:pos="1440"/>
        </w:tabs>
        <w:spacing w:line="276" w:lineRule="auto"/>
        <w:jc w:val="both"/>
        <w:rPr/>
      </w:pPr>
      <w:r w:rsidDel="00000000" w:rsidR="00000000" w:rsidRPr="00000000">
        <w:rPr>
          <w:rtl w:val="0"/>
        </w:rPr>
        <w:t xml:space="preserve">Domicilio constituido en la Ciudad de Comodoro Rivadavia: ______________________________</w:t>
      </w:r>
    </w:p>
    <w:p w:rsidR="00000000" w:rsidDel="00000000" w:rsidP="00000000" w:rsidRDefault="00000000" w:rsidRPr="00000000" w14:paraId="00000092">
      <w:pPr>
        <w:tabs>
          <w:tab w:val="left" w:leader="none" w:pos="0"/>
          <w:tab w:val="left" w:leader="none" w:pos="1440"/>
        </w:tabs>
        <w:spacing w:line="276" w:lineRule="auto"/>
        <w:jc w:val="both"/>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093">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4">
      <w:pPr>
        <w:tabs>
          <w:tab w:val="left" w:leader="none" w:pos="0"/>
          <w:tab w:val="left" w:leader="none" w:pos="1440"/>
        </w:tabs>
        <w:spacing w:line="276" w:lineRule="auto"/>
        <w:jc w:val="both"/>
        <w:rPr/>
      </w:pPr>
      <w:r w:rsidDel="00000000" w:rsidR="00000000" w:rsidRPr="00000000">
        <w:rPr>
          <w:rtl w:val="0"/>
        </w:rPr>
        <w:t xml:space="preserve">Estado civil: _________________________________________________________________</w:t>
      </w:r>
    </w:p>
    <w:p w:rsidR="00000000" w:rsidDel="00000000" w:rsidP="00000000" w:rsidRDefault="00000000" w:rsidRPr="00000000" w14:paraId="00000095">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6">
      <w:pPr>
        <w:tabs>
          <w:tab w:val="left" w:leader="none" w:pos="0"/>
          <w:tab w:val="left" w:leader="none" w:pos="1440"/>
        </w:tabs>
        <w:spacing w:line="276" w:lineRule="auto"/>
        <w:jc w:val="both"/>
        <w:rPr/>
      </w:pPr>
      <w:r w:rsidDel="00000000" w:rsidR="00000000" w:rsidRPr="00000000">
        <w:rPr>
          <w:rtl w:val="0"/>
        </w:rPr>
        <w:t xml:space="preserve">Fecha de nacimiento/constitución societaria: ____________________________</w:t>
      </w:r>
    </w:p>
    <w:p w:rsidR="00000000" w:rsidDel="00000000" w:rsidP="00000000" w:rsidRDefault="00000000" w:rsidRPr="00000000" w14:paraId="00000097">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8">
      <w:pPr>
        <w:tabs>
          <w:tab w:val="left" w:leader="none" w:pos="0"/>
          <w:tab w:val="left" w:leader="none" w:pos="1440"/>
        </w:tabs>
        <w:spacing w:line="276" w:lineRule="auto"/>
        <w:jc w:val="both"/>
        <w:rPr/>
      </w:pPr>
      <w:r w:rsidDel="00000000" w:rsidR="00000000" w:rsidRPr="00000000">
        <w:rPr>
          <w:rtl w:val="0"/>
        </w:rPr>
        <w:t xml:space="preserve">Subasta pública de fecha: _________________________________________________</w:t>
      </w:r>
    </w:p>
    <w:p w:rsidR="00000000" w:rsidDel="00000000" w:rsidP="00000000" w:rsidRDefault="00000000" w:rsidRPr="00000000" w14:paraId="00000099">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A">
      <w:pPr>
        <w:tabs>
          <w:tab w:val="left" w:leader="none" w:pos="0"/>
          <w:tab w:val="left" w:leader="none" w:pos="1440"/>
        </w:tabs>
        <w:spacing w:line="276" w:lineRule="auto"/>
        <w:jc w:val="both"/>
        <w:rPr/>
      </w:pPr>
      <w:r w:rsidDel="00000000" w:rsidR="00000000" w:rsidRPr="00000000">
        <w:rPr>
          <w:rtl w:val="0"/>
        </w:rPr>
        <w:t xml:space="preserve">Ejercicio: ________________</w:t>
      </w:r>
    </w:p>
    <w:p w:rsidR="00000000" w:rsidDel="00000000" w:rsidP="00000000" w:rsidRDefault="00000000" w:rsidRPr="00000000" w14:paraId="0000009B">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C">
      <w:pPr>
        <w:tabs>
          <w:tab w:val="left" w:leader="none" w:pos="0"/>
          <w:tab w:val="left" w:leader="none" w:pos="1440"/>
        </w:tabs>
        <w:spacing w:line="276" w:lineRule="auto"/>
        <w:jc w:val="both"/>
        <w:rPr/>
      </w:pPr>
      <w:r w:rsidDel="00000000" w:rsidR="00000000" w:rsidRPr="00000000">
        <w:rPr>
          <w:rtl w:val="0"/>
        </w:rPr>
        <w:t xml:space="preserve">Lugar, día y hora de la subasta: __________________________________________</w:t>
      </w:r>
    </w:p>
    <w:p w:rsidR="00000000" w:rsidDel="00000000" w:rsidP="00000000" w:rsidRDefault="00000000" w:rsidRPr="00000000" w14:paraId="0000009D">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9E">
      <w:pPr>
        <w:tabs>
          <w:tab w:val="left" w:leader="none" w:pos="0"/>
          <w:tab w:val="left" w:leader="none" w:pos="1440"/>
        </w:tabs>
        <w:spacing w:line="276" w:lineRule="auto"/>
        <w:jc w:val="both"/>
        <w:rPr/>
      </w:pPr>
      <w:r w:rsidDel="00000000" w:rsidR="00000000" w:rsidRPr="00000000">
        <w:rPr>
          <w:rtl w:val="0"/>
        </w:rPr>
        <w:t xml:space="preserve">El que suscribe declara bajo juramento de ley no encontrarse comprendido en ninguna causal de incompatibilidad para contratar con Petrominera Chubut, de acuerdo al pliego de bases y condiciones del LLAMADO SUBASTA CON SOBRE CERRADO DE VEHÍCULOS DE PETROMINERA CHUBUT S.E., N° 01/2023 y la normativa nacional, provincial y municipal aplicable.</w:t>
      </w:r>
    </w:p>
    <w:p w:rsidR="00000000" w:rsidDel="00000000" w:rsidP="00000000" w:rsidRDefault="00000000" w:rsidRPr="00000000" w14:paraId="0000009F">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A0">
      <w:pPr>
        <w:tabs>
          <w:tab w:val="left" w:leader="none" w:pos="0"/>
          <w:tab w:val="left" w:leader="none" w:pos="1440"/>
        </w:tabs>
        <w:spacing w:line="276" w:lineRule="auto"/>
        <w:jc w:val="both"/>
        <w:rPr/>
      </w:pPr>
      <w:r w:rsidDel="00000000" w:rsidR="00000000" w:rsidRPr="00000000">
        <w:rPr>
          <w:rtl w:val="0"/>
        </w:rPr>
        <w:t xml:space="preserve">Firma: ____________________________________</w:t>
      </w:r>
    </w:p>
    <w:p w:rsidR="00000000" w:rsidDel="00000000" w:rsidP="00000000" w:rsidRDefault="00000000" w:rsidRPr="00000000" w14:paraId="000000A1">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A2">
      <w:pPr>
        <w:tabs>
          <w:tab w:val="left" w:leader="none" w:pos="0"/>
          <w:tab w:val="left" w:leader="none" w:pos="1440"/>
        </w:tabs>
        <w:spacing w:line="276" w:lineRule="auto"/>
        <w:jc w:val="both"/>
        <w:rPr/>
      </w:pPr>
      <w:r w:rsidDel="00000000" w:rsidR="00000000" w:rsidRPr="00000000">
        <w:rPr>
          <w:rtl w:val="0"/>
        </w:rPr>
        <w:t xml:space="preserve">Aclaración: _____________________________</w:t>
      </w:r>
    </w:p>
    <w:p w:rsidR="00000000" w:rsidDel="00000000" w:rsidP="00000000" w:rsidRDefault="00000000" w:rsidRPr="00000000" w14:paraId="000000A3">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A4">
      <w:pPr>
        <w:tabs>
          <w:tab w:val="left" w:leader="none" w:pos="0"/>
          <w:tab w:val="left" w:leader="none" w:pos="1440"/>
        </w:tabs>
        <w:spacing w:line="276" w:lineRule="auto"/>
        <w:jc w:val="both"/>
        <w:rPr/>
      </w:pPr>
      <w:r w:rsidDel="00000000" w:rsidR="00000000" w:rsidRPr="00000000">
        <w:rPr>
          <w:rtl w:val="0"/>
        </w:rPr>
        <w:t xml:space="preserve">Carácter: ________________________________</w:t>
      </w:r>
    </w:p>
    <w:p w:rsidR="00000000" w:rsidDel="00000000" w:rsidP="00000000" w:rsidRDefault="00000000" w:rsidRPr="00000000" w14:paraId="000000A5">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A6">
      <w:pPr>
        <w:tabs>
          <w:tab w:val="left" w:leader="none" w:pos="0"/>
          <w:tab w:val="left" w:leader="none" w:pos="1440"/>
        </w:tabs>
        <w:spacing w:line="276" w:lineRule="auto"/>
        <w:jc w:val="both"/>
        <w:rPr/>
      </w:pPr>
      <w:r w:rsidDel="00000000" w:rsidR="00000000" w:rsidRPr="00000000">
        <w:rPr>
          <w:rtl w:val="0"/>
        </w:rPr>
        <w:t xml:space="preserve">Lugar y fecha: ___________________________</w:t>
      </w:r>
    </w:p>
    <w:p w:rsidR="00000000" w:rsidDel="00000000" w:rsidP="00000000" w:rsidRDefault="00000000" w:rsidRPr="00000000" w14:paraId="000000A7">
      <w:pPr>
        <w:tabs>
          <w:tab w:val="left" w:leader="none" w:pos="0"/>
          <w:tab w:val="left" w:leader="none" w:pos="1440"/>
        </w:tabs>
        <w:spacing w:line="276" w:lineRule="auto"/>
        <w:jc w:val="both"/>
        <w:rPr/>
      </w:pPr>
      <w:r w:rsidDel="00000000" w:rsidR="00000000" w:rsidRPr="00000000">
        <w:rPr>
          <w:rtl w:val="0"/>
        </w:rPr>
      </w:r>
    </w:p>
    <w:p w:rsidR="00000000" w:rsidDel="00000000" w:rsidP="00000000" w:rsidRDefault="00000000" w:rsidRPr="00000000" w14:paraId="000000A8">
      <w:pPr>
        <w:tabs>
          <w:tab w:val="left" w:leader="none" w:pos="0"/>
          <w:tab w:val="left" w:leader="none" w:pos="1440"/>
          <w:tab w:val="left" w:leader="none" w:pos="1620"/>
        </w:tabs>
        <w:spacing w:line="276" w:lineRule="auto"/>
        <w:jc w:val="center"/>
        <w:rPr>
          <w:b w:val="1"/>
        </w:rPr>
      </w:pPr>
      <w:r w:rsidDel="00000000" w:rsidR="00000000" w:rsidRPr="00000000">
        <w:rPr>
          <w:b w:val="1"/>
          <w:rtl w:val="0"/>
        </w:rPr>
        <w:t xml:space="preserve">Anexo  IlI – Catálogo de vehículos</w:t>
      </w:r>
    </w:p>
    <w:p w:rsidR="00000000" w:rsidDel="00000000" w:rsidP="00000000" w:rsidRDefault="00000000" w:rsidRPr="00000000" w14:paraId="000000A9">
      <w:pPr>
        <w:tabs>
          <w:tab w:val="left" w:leader="none" w:pos="0"/>
          <w:tab w:val="left" w:leader="none" w:pos="1440"/>
          <w:tab w:val="left" w:leader="none" w:pos="1620"/>
        </w:tabs>
        <w:spacing w:line="276" w:lineRule="auto"/>
        <w:jc w:val="both"/>
        <w:rPr>
          <w:b w:val="1"/>
        </w:rPr>
      </w:pPr>
      <w:r w:rsidDel="00000000" w:rsidR="00000000" w:rsidRPr="00000000">
        <w:rPr>
          <w:rtl w:val="0"/>
        </w:rPr>
      </w:r>
    </w:p>
    <w:tbl>
      <w:tblPr>
        <w:tblStyle w:val="Table1"/>
        <w:tblW w:w="9090.0" w:type="dxa"/>
        <w:jc w:val="left"/>
        <w:tblLayout w:type="fixed"/>
        <w:tblLook w:val="0400"/>
      </w:tblPr>
      <w:tblGrid>
        <w:gridCol w:w="420"/>
        <w:gridCol w:w="5100"/>
        <w:gridCol w:w="705"/>
        <w:gridCol w:w="1155"/>
        <w:gridCol w:w="1710"/>
        <w:tblGridChange w:id="0">
          <w:tblGrid>
            <w:gridCol w:w="420"/>
            <w:gridCol w:w="5100"/>
            <w:gridCol w:w="705"/>
            <w:gridCol w:w="1155"/>
            <w:gridCol w:w="1710"/>
          </w:tblGrid>
        </w:tblGridChange>
      </w:tblGrid>
      <w:tr>
        <w:trPr>
          <w:cantSplit w:val="0"/>
          <w:trHeight w:val="41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AA">
            <w:pPr>
              <w:widowControl w:val="1"/>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AB">
            <w:pPr>
              <w:widowControl w:val="1"/>
              <w:jc w:val="center"/>
              <w:rPr>
                <w:rFonts w:ascii="Arial" w:cs="Arial" w:eastAsia="Arial" w:hAnsi="Arial"/>
              </w:rPr>
            </w:pPr>
            <w:r w:rsidDel="00000000" w:rsidR="00000000" w:rsidRPr="00000000">
              <w:rPr>
                <w:color w:val="000000"/>
                <w:rtl w:val="0"/>
              </w:rPr>
              <w:t xml:space="preserve">Modelo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AC">
            <w:pPr>
              <w:widowControl w:val="1"/>
              <w:rPr>
                <w:rFonts w:ascii="Arial" w:cs="Arial" w:eastAsia="Arial" w:hAnsi="Arial"/>
              </w:rPr>
            </w:pPr>
            <w:r w:rsidDel="00000000" w:rsidR="00000000" w:rsidRPr="00000000">
              <w:rPr>
                <w:color w:val="000000"/>
                <w:rtl w:val="0"/>
              </w:rPr>
              <w:t xml:space="preserve"> Año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AD">
            <w:pPr>
              <w:widowControl w:val="1"/>
              <w:rPr>
                <w:rFonts w:ascii="Arial" w:cs="Arial" w:eastAsia="Arial" w:hAnsi="Arial"/>
              </w:rPr>
            </w:pPr>
            <w:r w:rsidDel="00000000" w:rsidR="00000000" w:rsidRPr="00000000">
              <w:rPr>
                <w:color w:val="000000"/>
                <w:rtl w:val="0"/>
              </w:rPr>
              <w:t xml:space="preserve"> Dominio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AE">
            <w:pPr>
              <w:widowControl w:val="1"/>
              <w:rPr>
                <w:rFonts w:ascii="Arial" w:cs="Arial" w:eastAsia="Arial" w:hAnsi="Arial"/>
              </w:rPr>
            </w:pPr>
            <w:r w:rsidDel="00000000" w:rsidR="00000000" w:rsidRPr="00000000">
              <w:rPr>
                <w:color w:val="000000"/>
                <w:rtl w:val="0"/>
              </w:rPr>
              <w:t xml:space="preserve">Precio Base</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AF">
            <w:pPr>
              <w:widowControl w:val="1"/>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0">
            <w:pPr>
              <w:widowControl w:val="1"/>
              <w:rPr/>
            </w:pPr>
            <w:r w:rsidDel="00000000" w:rsidR="00000000" w:rsidRPr="00000000">
              <w:rPr>
                <w:rtl w:val="0"/>
              </w:rPr>
              <w:t xml:space="preserve">Marca: TOYOTA, HILUX 4x4 D/C SR 3.0 TDI, PICK UP</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1">
            <w:pPr>
              <w:widowControl w:val="1"/>
              <w:rPr/>
            </w:pPr>
            <w:r w:rsidDel="00000000" w:rsidR="00000000" w:rsidRPr="00000000">
              <w:rPr>
                <w:rtl w:val="0"/>
              </w:rPr>
              <w:t xml:space="preserve">2008</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2">
            <w:pPr>
              <w:widowControl w:val="1"/>
              <w:rPr/>
            </w:pPr>
            <w:r w:rsidDel="00000000" w:rsidR="00000000" w:rsidRPr="00000000">
              <w:rPr>
                <w:rtl w:val="0"/>
              </w:rPr>
              <w:t xml:space="preserve">HRA851</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B3">
            <w:pPr>
              <w:widowControl w:val="1"/>
              <w:rPr/>
            </w:pPr>
            <w:r w:rsidDel="00000000" w:rsidR="00000000" w:rsidRPr="00000000">
              <w:rPr>
                <w:rtl w:val="0"/>
              </w:rPr>
              <w:t xml:space="preserve">$ 4.800.000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4">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5">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6">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7">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B8">
            <w:pPr>
              <w:widowControl w:val="1"/>
              <w:rPr>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9">
            <w:pPr>
              <w:widowControl w:val="1"/>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A">
            <w:pPr>
              <w:widowControl w:val="1"/>
              <w:rPr/>
            </w:pPr>
            <w:r w:rsidDel="00000000" w:rsidR="00000000" w:rsidRPr="00000000">
              <w:rPr>
                <w:rtl w:val="0"/>
              </w:rPr>
              <w:t xml:space="preserve">Marca: TOYOTA, 12-HILUX 4X4 D/C DX PACK 2.5 TD, PICK UP</w:t>
            </w:r>
          </w:p>
          <w:p w:rsidR="00000000" w:rsidDel="00000000" w:rsidP="00000000" w:rsidRDefault="00000000" w:rsidRPr="00000000" w14:paraId="000000BB">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C">
            <w:pPr>
              <w:widowControl w:val="1"/>
              <w:rPr/>
            </w:pPr>
            <w:r w:rsidDel="00000000" w:rsidR="00000000" w:rsidRPr="00000000">
              <w:rPr>
                <w:rtl w:val="0"/>
              </w:rPr>
              <w:t xml:space="preserve">2011</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D">
            <w:pPr>
              <w:widowControl w:val="1"/>
              <w:rPr/>
            </w:pPr>
            <w:r w:rsidDel="00000000" w:rsidR="00000000" w:rsidRPr="00000000">
              <w:rPr>
                <w:rtl w:val="0"/>
              </w:rPr>
              <w:t xml:space="preserve">KSB983</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BE">
            <w:pPr>
              <w:widowControl w:val="1"/>
              <w:rPr>
                <w:color w:val="000000"/>
              </w:rPr>
            </w:pPr>
            <w:r w:rsidDel="00000000" w:rsidR="00000000" w:rsidRPr="00000000">
              <w:rPr>
                <w:color w:val="000000"/>
                <w:rtl w:val="0"/>
              </w:rPr>
              <w:t xml:space="preserve">$ </w:t>
            </w:r>
            <w:r w:rsidDel="00000000" w:rsidR="00000000" w:rsidRPr="00000000">
              <w:rPr>
                <w:rtl w:val="0"/>
              </w:rPr>
              <w:t xml:space="preserve">4.650.000</w:t>
            </w: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BF">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0">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1">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2">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C3">
            <w:pPr>
              <w:widowControl w:val="1"/>
              <w:rPr>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4">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5">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6">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7">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C8">
            <w:pPr>
              <w:widowControl w:val="1"/>
              <w:rPr>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4"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9">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A">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B">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C">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CD">
            <w:pPr>
              <w:widowControl w:val="1"/>
              <w:rPr>
                <w:color w:val="000000"/>
              </w:rPr>
            </w:pPr>
            <w:r w:rsidDel="00000000" w:rsidR="00000000" w:rsidRPr="00000000">
              <w:rPr>
                <w:rtl w:val="0"/>
              </w:rPr>
            </w:r>
          </w:p>
        </w:tc>
      </w:tr>
      <w:tr>
        <w:trPr>
          <w:cantSplit w:val="0"/>
          <w:trHeight w:val="300" w:hRule="atLeast"/>
          <w:tblHeader w:val="0"/>
        </w:trPr>
        <w:tc>
          <w:tcPr>
            <w:tcBorders>
              <w:top w:color="000000" w:space="0" w:sz="4" w:val="single"/>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E">
            <w:pPr>
              <w:widowControl w:val="1"/>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CF">
            <w:pPr>
              <w:widowControl w:val="1"/>
              <w:rPr/>
            </w:pPr>
            <w:r w:rsidDel="00000000" w:rsidR="00000000" w:rsidRPr="00000000">
              <w:rPr>
                <w:rtl w:val="0"/>
              </w:rPr>
              <w:t xml:space="preserve">TOYOTA, Corolla SE-G 1.8 M/T SEDAN 4 PUERTAS</w:t>
            </w:r>
          </w:p>
        </w:tc>
        <w:tc>
          <w:tcPr>
            <w:tcBorders>
              <w:top w:color="000000" w:space="0" w:sz="4" w:val="single"/>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0">
            <w:pPr>
              <w:widowControl w:val="1"/>
              <w:rPr/>
            </w:pPr>
            <w:r w:rsidDel="00000000" w:rsidR="00000000" w:rsidRPr="00000000">
              <w:rPr>
                <w:rtl w:val="0"/>
              </w:rPr>
              <w:t xml:space="preserve">2012</w:t>
            </w:r>
          </w:p>
        </w:tc>
        <w:tc>
          <w:tcPr>
            <w:tcBorders>
              <w:top w:color="000000" w:space="0" w:sz="4" w:val="single"/>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1">
            <w:pPr>
              <w:widowControl w:val="1"/>
              <w:rPr/>
            </w:pP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D2">
            <w:pPr>
              <w:widowControl w:val="1"/>
              <w:rPr>
                <w:color w:val="000000"/>
              </w:rPr>
            </w:pPr>
            <w:r w:rsidDel="00000000" w:rsidR="00000000" w:rsidRPr="00000000">
              <w:rPr>
                <w:rtl w:val="0"/>
              </w:rPr>
              <w:t xml:space="preserve">$ 3.650.000</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3">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4">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5">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6">
            <w:pPr>
              <w:widowControl w:val="1"/>
              <w:rPr/>
            </w:pPr>
            <w:r w:rsidDel="00000000" w:rsidR="00000000" w:rsidRPr="00000000">
              <w:rPr>
                <w:rtl w:val="0"/>
              </w:rPr>
              <w:t xml:space="preserve">LXC522</w:t>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D7">
            <w:pPr>
              <w:widowControl w:val="1"/>
              <w:rPr>
                <w:color w:val="00000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8">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9">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A">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B">
            <w:pPr>
              <w:widowControl w:val="1"/>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DC">
            <w:pPr>
              <w:widowControl w:val="1"/>
              <w:rPr>
                <w:color w:val="000000"/>
              </w:rPr>
            </w:pP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D">
            <w:pPr>
              <w:widowControl w:val="1"/>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E">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DF">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bottom"/>
          </w:tcPr>
          <w:p w:rsidR="00000000" w:rsidDel="00000000" w:rsidP="00000000" w:rsidRDefault="00000000" w:rsidRPr="00000000" w14:paraId="000000E0">
            <w:pPr>
              <w:widowControl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tcPr>
          <w:p w:rsidR="00000000" w:rsidDel="00000000" w:rsidP="00000000" w:rsidRDefault="00000000" w:rsidRPr="00000000" w14:paraId="000000E1">
            <w:pPr>
              <w:widowControl w:val="1"/>
              <w:rPr>
                <w:color w:val="000000"/>
              </w:rPr>
            </w:pPr>
            <w:r w:rsidDel="00000000" w:rsidR="00000000" w:rsidRPr="00000000">
              <w:rPr>
                <w:rtl w:val="0"/>
              </w:rPr>
            </w:r>
          </w:p>
        </w:tc>
      </w:tr>
    </w:tbl>
    <w:p w:rsidR="00000000" w:rsidDel="00000000" w:rsidP="00000000" w:rsidRDefault="00000000" w:rsidRPr="00000000" w14:paraId="000000E2">
      <w:pPr>
        <w:tabs>
          <w:tab w:val="left" w:leader="none" w:pos="0"/>
          <w:tab w:val="left" w:leader="none" w:pos="1440"/>
          <w:tab w:val="left" w:leader="none" w:pos="1620"/>
        </w:tabs>
        <w:spacing w:line="276" w:lineRule="auto"/>
        <w:jc w:val="both"/>
        <w:rPr/>
      </w:pPr>
      <w:r w:rsidDel="00000000" w:rsidR="00000000" w:rsidRPr="00000000">
        <w:rPr>
          <w:rtl w:val="0"/>
        </w:rPr>
      </w:r>
    </w:p>
    <w:p w:rsidR="00000000" w:rsidDel="00000000" w:rsidP="00000000" w:rsidRDefault="00000000" w:rsidRPr="00000000" w14:paraId="000000E3">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4">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5">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6">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7">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8">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9">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A">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B">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C">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D">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E">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EF">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0">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1">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2">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3">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4">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5">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6">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7">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0F8">
      <w:pPr>
        <w:spacing w:line="276" w:lineRule="auto"/>
        <w:jc w:val="center"/>
        <w:rPr>
          <w:b w:val="1"/>
        </w:rPr>
      </w:pPr>
      <w:r w:rsidDel="00000000" w:rsidR="00000000" w:rsidRPr="00000000">
        <w:rPr>
          <w:rtl w:val="0"/>
        </w:rPr>
      </w:r>
    </w:p>
    <w:p w:rsidR="00000000" w:rsidDel="00000000" w:rsidP="00000000" w:rsidRDefault="00000000" w:rsidRPr="00000000" w14:paraId="000000F9">
      <w:pPr>
        <w:spacing w:line="276" w:lineRule="auto"/>
        <w:jc w:val="center"/>
        <w:rPr>
          <w:b w:val="1"/>
        </w:rPr>
      </w:pPr>
      <w:r w:rsidDel="00000000" w:rsidR="00000000" w:rsidRPr="00000000">
        <w:rPr>
          <w:rtl w:val="0"/>
        </w:rPr>
      </w:r>
    </w:p>
    <w:p w:rsidR="00000000" w:rsidDel="00000000" w:rsidP="00000000" w:rsidRDefault="00000000" w:rsidRPr="00000000" w14:paraId="000000FA">
      <w:pPr>
        <w:spacing w:line="276" w:lineRule="auto"/>
        <w:jc w:val="center"/>
        <w:rPr>
          <w:b w:val="1"/>
        </w:rPr>
      </w:pPr>
      <w:r w:rsidDel="00000000" w:rsidR="00000000" w:rsidRPr="00000000">
        <w:rPr>
          <w:rtl w:val="0"/>
        </w:rPr>
      </w:r>
    </w:p>
    <w:p w:rsidR="00000000" w:rsidDel="00000000" w:rsidP="00000000" w:rsidRDefault="00000000" w:rsidRPr="00000000" w14:paraId="000000FB">
      <w:pPr>
        <w:spacing w:line="276" w:lineRule="auto"/>
        <w:jc w:val="center"/>
        <w:rPr>
          <w:b w:val="1"/>
        </w:rPr>
      </w:pPr>
      <w:r w:rsidDel="00000000" w:rsidR="00000000" w:rsidRPr="00000000">
        <w:rPr>
          <w:rtl w:val="0"/>
        </w:rPr>
      </w:r>
    </w:p>
    <w:p w:rsidR="00000000" w:rsidDel="00000000" w:rsidP="00000000" w:rsidRDefault="00000000" w:rsidRPr="00000000" w14:paraId="000000FC">
      <w:pPr>
        <w:spacing w:line="276" w:lineRule="auto"/>
        <w:jc w:val="center"/>
        <w:rPr>
          <w:b w:val="1"/>
        </w:rPr>
      </w:pPr>
      <w:r w:rsidDel="00000000" w:rsidR="00000000" w:rsidRPr="00000000">
        <w:rPr>
          <w:rtl w:val="0"/>
        </w:rPr>
      </w:r>
    </w:p>
    <w:p w:rsidR="00000000" w:rsidDel="00000000" w:rsidP="00000000" w:rsidRDefault="00000000" w:rsidRPr="00000000" w14:paraId="000000FD">
      <w:pPr>
        <w:spacing w:line="276" w:lineRule="auto"/>
        <w:jc w:val="center"/>
        <w:rPr>
          <w:b w:val="1"/>
        </w:rPr>
      </w:pPr>
      <w:r w:rsidDel="00000000" w:rsidR="00000000" w:rsidRPr="00000000">
        <w:rPr>
          <w:b w:val="1"/>
          <w:rtl w:val="0"/>
        </w:rPr>
        <w:t xml:space="preserve">Anexo IV</w:t>
      </w:r>
    </w:p>
    <w:p w:rsidR="00000000" w:rsidDel="00000000" w:rsidP="00000000" w:rsidRDefault="00000000" w:rsidRPr="00000000" w14:paraId="000000FE">
      <w:pPr>
        <w:spacing w:line="276" w:lineRule="auto"/>
        <w:rPr/>
      </w:pPr>
      <w:r w:rsidDel="00000000" w:rsidR="00000000" w:rsidRPr="00000000">
        <w:rPr>
          <w:rtl w:val="0"/>
        </w:rPr>
      </w:r>
    </w:p>
    <w:p w:rsidR="00000000" w:rsidDel="00000000" w:rsidP="00000000" w:rsidRDefault="00000000" w:rsidRPr="00000000" w14:paraId="000000FF">
      <w:pPr>
        <w:spacing w:line="276" w:lineRule="auto"/>
        <w:jc w:val="center"/>
        <w:rPr>
          <w:b w:val="1"/>
        </w:rPr>
      </w:pPr>
      <w:r w:rsidDel="00000000" w:rsidR="00000000" w:rsidRPr="00000000">
        <w:rPr>
          <w:b w:val="1"/>
          <w:rtl w:val="0"/>
        </w:rPr>
        <w:t xml:space="preserve">OFERTA PARA LA SUBASTA EN SOBRE CERRADO </w:t>
      </w:r>
    </w:p>
    <w:p w:rsidR="00000000" w:rsidDel="00000000" w:rsidP="00000000" w:rsidRDefault="00000000" w:rsidRPr="00000000" w14:paraId="00000100">
      <w:pPr>
        <w:spacing w:line="276" w:lineRule="auto"/>
        <w:jc w:val="center"/>
        <w:rPr>
          <w:b w:val="1"/>
        </w:rPr>
      </w:pPr>
      <w:r w:rsidDel="00000000" w:rsidR="00000000" w:rsidRPr="00000000">
        <w:rPr>
          <w:rtl w:val="0"/>
        </w:rPr>
      </w:r>
    </w:p>
    <w:p w:rsidR="00000000" w:rsidDel="00000000" w:rsidP="00000000" w:rsidRDefault="00000000" w:rsidRPr="00000000" w14:paraId="00000101">
      <w:pPr>
        <w:spacing w:line="276" w:lineRule="auto"/>
        <w:rPr/>
      </w:pPr>
      <w:r w:rsidDel="00000000" w:rsidR="00000000" w:rsidRPr="00000000">
        <w:rPr>
          <w:rtl w:val="0"/>
        </w:rPr>
        <w:t xml:space="preserve">Fecha de la subasta:</w:t>
      </w:r>
    </w:p>
    <w:p w:rsidR="00000000" w:rsidDel="00000000" w:rsidP="00000000" w:rsidRDefault="00000000" w:rsidRPr="00000000" w14:paraId="00000102">
      <w:pPr>
        <w:spacing w:line="276" w:lineRule="auto"/>
        <w:rPr/>
      </w:pPr>
      <w:r w:rsidDel="00000000" w:rsidR="00000000" w:rsidRPr="00000000">
        <w:rPr>
          <w:rtl w:val="0"/>
        </w:rPr>
      </w:r>
    </w:p>
    <w:p w:rsidR="00000000" w:rsidDel="00000000" w:rsidP="00000000" w:rsidRDefault="00000000" w:rsidRPr="00000000" w14:paraId="00000103">
      <w:pPr>
        <w:spacing w:line="276" w:lineRule="auto"/>
        <w:rPr/>
      </w:pPr>
      <w:r w:rsidDel="00000000" w:rsidR="00000000" w:rsidRPr="00000000">
        <w:rPr>
          <w:rtl w:val="0"/>
        </w:rPr>
        <w:t xml:space="preserve">Patente del vehículo:</w:t>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b w:val="1"/>
        </w:rPr>
      </w:pPr>
      <w:r w:rsidDel="00000000" w:rsidR="00000000" w:rsidRPr="00000000">
        <w:rPr>
          <w:b w:val="1"/>
          <w:rtl w:val="0"/>
        </w:rPr>
        <w:t xml:space="preserve">DATOS DEL OFERTANTE </w:t>
      </w:r>
    </w:p>
    <w:p w:rsidR="00000000" w:rsidDel="00000000" w:rsidP="00000000" w:rsidRDefault="00000000" w:rsidRPr="00000000" w14:paraId="00000106">
      <w:pPr>
        <w:spacing w:line="276" w:lineRule="auto"/>
        <w:rPr/>
      </w:pPr>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Nombre y Apellidos: </w:t>
      </w:r>
    </w:p>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pPr>
      <w:r w:rsidDel="00000000" w:rsidR="00000000" w:rsidRPr="00000000">
        <w:rPr>
          <w:rtl w:val="0"/>
        </w:rPr>
        <w:t xml:space="preserve">Razón social (Sociedades): </w:t>
      </w:r>
    </w:p>
    <w:p w:rsidR="00000000" w:rsidDel="00000000" w:rsidP="00000000" w:rsidRDefault="00000000" w:rsidRPr="00000000" w14:paraId="0000010A">
      <w:pPr>
        <w:spacing w:line="276" w:lineRule="auto"/>
        <w:rPr/>
      </w:pPr>
      <w:r w:rsidDel="00000000" w:rsidR="00000000" w:rsidRPr="00000000">
        <w:rPr>
          <w:rtl w:val="0"/>
        </w:rPr>
      </w:r>
    </w:p>
    <w:p w:rsidR="00000000" w:rsidDel="00000000" w:rsidP="00000000" w:rsidRDefault="00000000" w:rsidRPr="00000000" w14:paraId="0000010B">
      <w:pPr>
        <w:spacing w:line="276" w:lineRule="auto"/>
        <w:rPr/>
      </w:pPr>
      <w:r w:rsidDel="00000000" w:rsidR="00000000" w:rsidRPr="00000000">
        <w:rPr>
          <w:rtl w:val="0"/>
        </w:rPr>
        <w:t xml:space="preserve">Domicilio Legal:</w:t>
      </w:r>
    </w:p>
    <w:p w:rsidR="00000000" w:rsidDel="00000000" w:rsidP="00000000" w:rsidRDefault="00000000" w:rsidRPr="00000000" w14:paraId="0000010C">
      <w:pPr>
        <w:spacing w:line="276" w:lineRule="auto"/>
        <w:rPr/>
      </w:pPr>
      <w:r w:rsidDel="00000000" w:rsidR="00000000" w:rsidRPr="00000000">
        <w:rPr>
          <w:rtl w:val="0"/>
        </w:rPr>
      </w:r>
    </w:p>
    <w:p w:rsidR="00000000" w:rsidDel="00000000" w:rsidP="00000000" w:rsidRDefault="00000000" w:rsidRPr="00000000" w14:paraId="0000010D">
      <w:pPr>
        <w:spacing w:line="276" w:lineRule="auto"/>
        <w:rPr/>
      </w:pPr>
      <w:r w:rsidDel="00000000" w:rsidR="00000000" w:rsidRPr="00000000">
        <w:rPr>
          <w:rtl w:val="0"/>
        </w:rPr>
        <w:t xml:space="preserve">Teléfono:</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t xml:space="preserve">Fax/correo electrónico: </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spacing w:line="276" w:lineRule="auto"/>
        <w:rPr/>
      </w:pPr>
      <w:r w:rsidDel="00000000" w:rsidR="00000000" w:rsidRPr="00000000">
        <w:rPr>
          <w:rtl w:val="0"/>
        </w:rPr>
        <w:t xml:space="preserve">SOLICITA poder participar en la subasta indicada y OFRECE la cantidad máxima de: </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spacing w:line="276" w:lineRule="auto"/>
        <w:rPr/>
      </w:pPr>
      <w:r w:rsidDel="00000000" w:rsidR="00000000" w:rsidRPr="00000000">
        <w:rPr>
          <w:rtl w:val="0"/>
        </w:rPr>
        <w:t xml:space="preserve">OFERTA: ….......................................................................................................Pesos.</w:t>
      </w:r>
    </w:p>
    <w:p w:rsidR="00000000" w:rsidDel="00000000" w:rsidP="00000000" w:rsidRDefault="00000000" w:rsidRPr="00000000" w14:paraId="00000114">
      <w:pPr>
        <w:spacing w:line="276" w:lineRule="auto"/>
        <w:rPr/>
      </w:pPr>
      <w:r w:rsidDel="00000000" w:rsidR="00000000" w:rsidRPr="00000000">
        <w:rPr>
          <w:rtl w:val="0"/>
        </w:rPr>
      </w:r>
    </w:p>
    <w:p w:rsidR="00000000" w:rsidDel="00000000" w:rsidP="00000000" w:rsidRDefault="00000000" w:rsidRPr="00000000" w14:paraId="00000115">
      <w:pPr>
        <w:spacing w:line="276" w:lineRule="auto"/>
        <w:rPr/>
      </w:pPr>
      <w:r w:rsidDel="00000000" w:rsidR="00000000" w:rsidRPr="00000000">
        <w:rPr>
          <w:rtl w:val="0"/>
        </w:rPr>
      </w:r>
    </w:p>
    <w:p w:rsidR="00000000" w:rsidDel="00000000" w:rsidP="00000000" w:rsidRDefault="00000000" w:rsidRPr="00000000" w14:paraId="00000116">
      <w:pPr>
        <w:spacing w:line="276" w:lineRule="auto"/>
        <w:rPr/>
      </w:pPr>
      <w:r w:rsidDel="00000000" w:rsidR="00000000" w:rsidRPr="00000000">
        <w:rPr>
          <w:rtl w:val="0"/>
        </w:rPr>
        <w:t xml:space="preserve">                                                                                                                                 (firma) </w:t>
      </w:r>
    </w:p>
    <w:p w:rsidR="00000000" w:rsidDel="00000000" w:rsidP="00000000" w:rsidRDefault="00000000" w:rsidRPr="00000000" w14:paraId="00000117">
      <w:pPr>
        <w:spacing w:line="276" w:lineRule="auto"/>
        <w:rPr/>
      </w:pPr>
      <w:r w:rsidDel="00000000" w:rsidR="00000000" w:rsidRPr="00000000">
        <w:rPr>
          <w:rtl w:val="0"/>
        </w:rPr>
        <w:t xml:space="preserve">Advertencia: </w:t>
      </w:r>
    </w:p>
    <w:p w:rsidR="00000000" w:rsidDel="00000000" w:rsidP="00000000" w:rsidRDefault="00000000" w:rsidRPr="00000000" w14:paraId="00000118">
      <w:pPr>
        <w:spacing w:line="276" w:lineRule="auto"/>
        <w:rPr/>
      </w:pPr>
      <w:r w:rsidDel="00000000" w:rsidR="00000000" w:rsidRPr="00000000">
        <w:rPr>
          <w:rtl w:val="0"/>
        </w:rPr>
      </w:r>
    </w:p>
    <w:p w:rsidR="00000000" w:rsidDel="00000000" w:rsidP="00000000" w:rsidRDefault="00000000" w:rsidRPr="00000000" w14:paraId="00000119">
      <w:pPr>
        <w:numPr>
          <w:ilvl w:val="0"/>
          <w:numId w:val="2"/>
        </w:numPr>
        <w:tabs>
          <w:tab w:val="left" w:leader="none" w:pos="0"/>
          <w:tab w:val="left" w:leader="none" w:pos="1440"/>
          <w:tab w:val="left" w:leader="none" w:pos="1620"/>
        </w:tabs>
        <w:spacing w:line="276" w:lineRule="auto"/>
        <w:ind w:left="720" w:hanging="360"/>
        <w:jc w:val="both"/>
        <w:rPr>
          <w:b w:val="1"/>
        </w:rPr>
      </w:pPr>
      <w:r w:rsidDel="00000000" w:rsidR="00000000" w:rsidRPr="00000000">
        <w:rPr>
          <w:b w:val="1"/>
          <w:rtl w:val="0"/>
        </w:rPr>
        <w:t xml:space="preserve">No se admitirán las ofertas con correcciones, tachaduras, etc. </w:t>
      </w:r>
    </w:p>
    <w:p w:rsidR="00000000" w:rsidDel="00000000" w:rsidP="00000000" w:rsidRDefault="00000000" w:rsidRPr="00000000" w14:paraId="0000011A">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11B">
      <w:pPr>
        <w:tabs>
          <w:tab w:val="left" w:leader="none" w:pos="0"/>
          <w:tab w:val="left" w:leader="none" w:pos="1440"/>
          <w:tab w:val="left" w:leader="none" w:pos="1620"/>
        </w:tabs>
        <w:spacing w:line="276" w:lineRule="auto"/>
        <w:jc w:val="both"/>
        <w:rPr>
          <w:b w:val="1"/>
        </w:rPr>
      </w:pPr>
      <w:r w:rsidDel="00000000" w:rsidR="00000000" w:rsidRPr="00000000">
        <w:rPr>
          <w:rtl w:val="0"/>
        </w:rPr>
      </w:r>
    </w:p>
    <w:p w:rsidR="00000000" w:rsidDel="00000000" w:rsidP="00000000" w:rsidRDefault="00000000" w:rsidRPr="00000000" w14:paraId="0000011C">
      <w:pPr>
        <w:tabs>
          <w:tab w:val="left" w:leader="none" w:pos="0"/>
          <w:tab w:val="left" w:leader="none" w:pos="1440"/>
          <w:tab w:val="left" w:leader="none" w:pos="1620"/>
        </w:tabs>
        <w:spacing w:line="276" w:lineRule="auto"/>
        <w:jc w:val="both"/>
        <w:rPr>
          <w:b w:val="1"/>
        </w:rPr>
      </w:pPr>
      <w:r w:rsidDel="00000000" w:rsidR="00000000" w:rsidRPr="00000000">
        <w:rPr>
          <w:rtl w:val="0"/>
        </w:rPr>
      </w:r>
    </w:p>
    <w:sectPr>
      <w:headerReference r:id="rId10" w:type="default"/>
      <w:footerReference r:id="rId11"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rPr>
    </w:pPr>
    <w:r w:rsidDel="00000000" w:rsidR="00000000" w:rsidRPr="00000000">
      <w:rPr>
        <w:color w:val="000000"/>
        <w:rtl w:val="0"/>
      </w:rPr>
      <w:t xml:space="preserve">Firma________________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2360295" cy="64833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0295" cy="648335"/>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4.%2."/>
      <w:lvlJc w:val="left"/>
      <w:pPr>
        <w:ind w:left="720" w:hanging="720"/>
      </w:pPr>
      <w:rPr>
        <w:b w:val="1"/>
      </w:rPr>
    </w:lvl>
    <w:lvl w:ilvl="2">
      <w:start w:val="1"/>
      <w:numFmt w:val="bullet"/>
      <w:lvlText w:val="●"/>
      <w:lvlJc w:val="left"/>
      <w:pPr>
        <w:ind w:left="1620" w:hanging="360"/>
      </w:pPr>
      <w:rPr>
        <w:rFonts w:ascii="Noto Sans Symbols" w:cs="Noto Sans Symbols" w:eastAsia="Noto Sans Symbols" w:hAnsi="Noto Sans Symbols"/>
        <w:b w:val="1"/>
        <w:sz w:val="22"/>
        <w:szCs w:val="22"/>
      </w:rPr>
    </w:lvl>
    <w:lvl w:ilvl="3">
      <w:start w:val="1"/>
      <w:numFmt w:val="decimal"/>
      <w:lvlText w:val="5.1.●.%4."/>
      <w:lvlJc w:val="left"/>
      <w:pPr>
        <w:ind w:left="2835" w:hanging="850"/>
      </w:pPr>
      <w:rPr>
        <w:b w:val="1"/>
      </w:rPr>
    </w:lvl>
    <w:lvl w:ilvl="4">
      <w:start w:val="1"/>
      <w:numFmt w:val="decimal"/>
      <w:lvlText w:val="%1.%2.●.%4.%5."/>
      <w:lvlJc w:val="left"/>
      <w:pPr>
        <w:ind w:left="1080" w:hanging="1080"/>
      </w:pPr>
      <w:rPr/>
    </w:lvl>
    <w:lvl w:ilvl="5">
      <w:start w:val="1"/>
      <w:numFmt w:val="decimal"/>
      <w:lvlText w:val="%1.%2.●.%4.%5.%6."/>
      <w:lvlJc w:val="left"/>
      <w:pPr>
        <w:ind w:left="1440" w:hanging="1440"/>
      </w:pPr>
      <w:rPr/>
    </w:lvl>
    <w:lvl w:ilvl="6">
      <w:start w:val="1"/>
      <w:numFmt w:val="decimal"/>
      <w:lvlText w:val="%1.%2.●.%4.%5.%6.%7."/>
      <w:lvlJc w:val="left"/>
      <w:pPr>
        <w:ind w:left="1440" w:hanging="1440"/>
      </w:pPr>
      <w:rPr/>
    </w:lvl>
    <w:lvl w:ilvl="7">
      <w:start w:val="1"/>
      <w:numFmt w:val="decimal"/>
      <w:lvlText w:val="%1.%2.●.%4.%5.%6.%7.%8."/>
      <w:lvlJc w:val="left"/>
      <w:pPr>
        <w:ind w:left="1800" w:hanging="1800"/>
      </w:pPr>
      <w:rPr/>
    </w:lvl>
    <w:lvl w:ilvl="8">
      <w:start w:val="1"/>
      <w:numFmt w:val="decimal"/>
      <w:lvlText w:val="%1.%2.●.%4.%5.%6.%7.%8.%9."/>
      <w:lvlJc w:val="left"/>
      <w:pPr>
        <w:ind w:left="1800" w:hanging="180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4"/>
      <w:numFmt w:val="decimal"/>
      <w:lvlText w:val="%1."/>
      <w:lvlJc w:val="left"/>
      <w:pPr>
        <w:ind w:left="360" w:hanging="360"/>
      </w:pPr>
      <w:rPr/>
    </w:lvl>
    <w:lvl w:ilvl="1">
      <w:start w:val="1"/>
      <w:numFmt w:val="decimal"/>
      <w:lvlText w:val="4.%2."/>
      <w:lvlJc w:val="left"/>
      <w:pPr>
        <w:ind w:left="720" w:hanging="720"/>
      </w:pPr>
      <w:rPr>
        <w:b w:val="1"/>
      </w:rPr>
    </w:lvl>
    <w:lvl w:ilvl="2">
      <w:start w:val="1"/>
      <w:numFmt w:val="bullet"/>
      <w:lvlText w:val="●"/>
      <w:lvlJc w:val="left"/>
      <w:pPr>
        <w:ind w:left="1620" w:hanging="360"/>
      </w:pPr>
      <w:rPr>
        <w:rFonts w:ascii="Noto Sans Symbols" w:cs="Noto Sans Symbols" w:eastAsia="Noto Sans Symbols" w:hAnsi="Noto Sans Symbols"/>
        <w:b w:val="1"/>
        <w:sz w:val="22"/>
        <w:szCs w:val="22"/>
      </w:rPr>
    </w:lvl>
    <w:lvl w:ilvl="3">
      <w:start w:val="1"/>
      <w:numFmt w:val="decimal"/>
      <w:lvlText w:val="5.1.●.%4."/>
      <w:lvlJc w:val="left"/>
      <w:pPr>
        <w:ind w:left="2835" w:hanging="850"/>
      </w:pPr>
      <w:rPr>
        <w:b w:val="1"/>
      </w:rPr>
    </w:lvl>
    <w:lvl w:ilvl="4">
      <w:start w:val="1"/>
      <w:numFmt w:val="decimal"/>
      <w:lvlText w:val="%1.%2.●.%4.%5."/>
      <w:lvlJc w:val="left"/>
      <w:pPr>
        <w:ind w:left="1080" w:hanging="1080"/>
      </w:pPr>
      <w:rPr/>
    </w:lvl>
    <w:lvl w:ilvl="5">
      <w:start w:val="1"/>
      <w:numFmt w:val="decimal"/>
      <w:lvlText w:val="%1.%2.●.%4.%5.%6."/>
      <w:lvlJc w:val="left"/>
      <w:pPr>
        <w:ind w:left="1440" w:hanging="1440"/>
      </w:pPr>
      <w:rPr/>
    </w:lvl>
    <w:lvl w:ilvl="6">
      <w:start w:val="1"/>
      <w:numFmt w:val="decimal"/>
      <w:lvlText w:val="%1.%2.●.%4.%5.%6.%7."/>
      <w:lvlJc w:val="left"/>
      <w:pPr>
        <w:ind w:left="1440" w:hanging="1440"/>
      </w:pPr>
      <w:rPr/>
    </w:lvl>
    <w:lvl w:ilvl="7">
      <w:start w:val="1"/>
      <w:numFmt w:val="decimal"/>
      <w:lvlText w:val="%1.%2.●.%4.%5.%6.%7.%8."/>
      <w:lvlJc w:val="left"/>
      <w:pPr>
        <w:ind w:left="1800" w:hanging="1800"/>
      </w:pPr>
      <w:rPr/>
    </w:lvl>
    <w:lvl w:ilvl="8">
      <w:start w:val="1"/>
      <w:numFmt w:val="decimal"/>
      <w:lvlText w:val="%1.%2.●.%4.%5.%6.%7.%8.%9."/>
      <w:lvlJc w:val="left"/>
      <w:pPr>
        <w:ind w:left="1800" w:hanging="1800"/>
      </w:pPr>
      <w:rPr/>
    </w:lvl>
  </w:abstractNum>
  <w:abstractNum w:abstractNumId="4">
    <w:lvl w:ilvl="0">
      <w:start w:val="4"/>
      <w:numFmt w:val="decimal"/>
      <w:lvlText w:val="%1."/>
      <w:lvlJc w:val="left"/>
      <w:pPr>
        <w:ind w:left="360" w:hanging="360"/>
      </w:pPr>
      <w:rPr/>
    </w:lvl>
    <w:lvl w:ilvl="1">
      <w:start w:val="1"/>
      <w:numFmt w:val="decimal"/>
      <w:lvlText w:val="ARTÍCULO %2º:"/>
      <w:lvlJc w:val="left"/>
      <w:pPr>
        <w:ind w:left="1997" w:hanging="720"/>
      </w:pPr>
      <w:rPr>
        <w:b w:val="1"/>
      </w:rPr>
    </w:lvl>
    <w:lvl w:ilvl="2">
      <w:start w:val="1"/>
      <w:numFmt w:val="decimal"/>
      <w:lvlText w:val="4.1.%3."/>
      <w:lvlJc w:val="left"/>
      <w:pPr>
        <w:ind w:left="1921" w:hanging="907.0000000000001"/>
      </w:pPr>
      <w:rPr>
        <w:rFonts w:ascii="Century Gothic" w:cs="Century Gothic" w:eastAsia="Century Gothic" w:hAnsi="Century Gothic"/>
        <w:b w:val="1"/>
        <w:sz w:val="22"/>
        <w:szCs w:val="22"/>
      </w:rPr>
    </w:lvl>
    <w:lvl w:ilvl="3">
      <w:start w:val="1"/>
      <w:numFmt w:val="decimal"/>
      <w:lvlText w:val="5.1.%3.%4."/>
      <w:lvlJc w:val="left"/>
      <w:pPr>
        <w:ind w:left="2835" w:hanging="850"/>
      </w:pPr>
      <w:rPr>
        <w:b w:val="1"/>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003" w:hanging="360"/>
      </w:pPr>
      <w:rPr>
        <w:rFonts w:ascii="Noto Sans Symbols" w:cs="Noto Sans Symbols" w:eastAsia="Noto Sans Symbols" w:hAnsi="Noto Sans Symbols"/>
        <w:color w:val="000000"/>
      </w:rPr>
    </w:lvl>
    <w:lvl w:ilvl="1">
      <w:start w:val="1"/>
      <w:numFmt w:val="decimal"/>
      <w:lvlText w:val="4.%2."/>
      <w:lvlJc w:val="left"/>
      <w:pPr>
        <w:ind w:left="1080" w:hanging="720"/>
      </w:pPr>
      <w:rPr>
        <w:b w:val="1"/>
      </w:rPr>
    </w:lvl>
    <w:lvl w:ilvl="2">
      <w:start w:val="1"/>
      <w:numFmt w:val="decimal"/>
      <w:lvlText w:val="4.1.%3."/>
      <w:lvlJc w:val="left"/>
      <w:pPr>
        <w:ind w:left="2281" w:hanging="907.0000000000002"/>
      </w:pPr>
      <w:rPr>
        <w:rFonts w:ascii="Century Gothic" w:cs="Century Gothic" w:eastAsia="Century Gothic" w:hAnsi="Century Gothic"/>
        <w:b w:val="1"/>
        <w:sz w:val="22"/>
        <w:szCs w:val="22"/>
      </w:rPr>
    </w:lvl>
    <w:lvl w:ilvl="3">
      <w:start w:val="1"/>
      <w:numFmt w:val="decimal"/>
      <w:lvlText w:val="5.1.%3.%4."/>
      <w:lvlJc w:val="left"/>
      <w:pPr>
        <w:ind w:left="3195" w:hanging="850"/>
      </w:pPr>
      <w:rPr>
        <w:b w:val="1"/>
      </w:rPr>
    </w:lvl>
    <w:lvl w:ilvl="4">
      <w:start w:val="1"/>
      <w:numFmt w:val="decimal"/>
      <w:lvlText w:val="●.%2.%3.%4.%5."/>
      <w:lvlJc w:val="left"/>
      <w:pPr>
        <w:ind w:left="1440" w:hanging="1080"/>
      </w:pPr>
      <w:rPr/>
    </w:lvl>
    <w:lvl w:ilvl="5">
      <w:start w:val="1"/>
      <w:numFmt w:val="decimal"/>
      <w:lvlText w:val="●.%2.%3.%4.%5.%6."/>
      <w:lvlJc w:val="left"/>
      <w:pPr>
        <w:ind w:left="1800" w:hanging="1440"/>
      </w:pPr>
      <w:rPr/>
    </w:lvl>
    <w:lvl w:ilvl="6">
      <w:start w:val="1"/>
      <w:numFmt w:val="decimal"/>
      <w:lvlText w:val="●.%2.%3.%4.%5.%6.%7."/>
      <w:lvlJc w:val="left"/>
      <w:pPr>
        <w:ind w:left="1800" w:hanging="1440"/>
      </w:pPr>
      <w:rPr/>
    </w:lvl>
    <w:lvl w:ilvl="7">
      <w:start w:val="1"/>
      <w:numFmt w:val="decimal"/>
      <w:lvlText w:val="●.%2.%3.%4.%5.%6.%7.%8."/>
      <w:lvlJc w:val="left"/>
      <w:pPr>
        <w:ind w:left="2160" w:hanging="1800"/>
      </w:pPr>
      <w:rPr/>
    </w:lvl>
    <w:lvl w:ilvl="8">
      <w:start w:val="1"/>
      <w:numFmt w:val="decimal"/>
      <w:lvlText w:val="●.%2.%3.%4.%5.%6.%7.%8.%9."/>
      <w:lvlJc w:val="left"/>
      <w:pPr>
        <w:ind w:left="2160" w:hanging="1800"/>
      </w:pPr>
      <w:rPr/>
    </w:lvl>
  </w:abstractNum>
  <w:abstractNum w:abstractNumId="7">
    <w:lvl w:ilvl="0">
      <w:start w:val="1"/>
      <w:numFmt w:val="bullet"/>
      <w:lvlText w:val="●"/>
      <w:lvlJc w:val="left"/>
      <w:pPr>
        <w:ind w:left="1003" w:hanging="360"/>
      </w:pPr>
      <w:rPr>
        <w:rFonts w:ascii="Noto Sans Symbols" w:cs="Noto Sans Symbols" w:eastAsia="Noto Sans Symbols" w:hAnsi="Noto Sans Symbols"/>
        <w:color w:val="000000"/>
      </w:rPr>
    </w:lvl>
    <w:lvl w:ilvl="1">
      <w:start w:val="1"/>
      <w:numFmt w:val="decimal"/>
      <w:lvlText w:val="4.%2."/>
      <w:lvlJc w:val="left"/>
      <w:pPr>
        <w:ind w:left="1080" w:hanging="720"/>
      </w:pPr>
      <w:rPr>
        <w:b w:val="1"/>
      </w:rPr>
    </w:lvl>
    <w:lvl w:ilvl="2">
      <w:start w:val="1"/>
      <w:numFmt w:val="decimal"/>
      <w:lvlText w:val="4.1.%3."/>
      <w:lvlJc w:val="left"/>
      <w:pPr>
        <w:ind w:left="2527" w:hanging="907"/>
      </w:pPr>
      <w:rPr>
        <w:rFonts w:ascii="Century Gothic" w:cs="Century Gothic" w:eastAsia="Century Gothic" w:hAnsi="Century Gothic"/>
        <w:b w:val="1"/>
        <w:sz w:val="22"/>
        <w:szCs w:val="22"/>
      </w:rPr>
    </w:lvl>
    <w:lvl w:ilvl="3">
      <w:start w:val="1"/>
      <w:numFmt w:val="decimal"/>
      <w:lvlText w:val="5.1.%3.%4."/>
      <w:lvlJc w:val="left"/>
      <w:pPr>
        <w:ind w:left="3195" w:hanging="850"/>
      </w:pPr>
      <w:rPr>
        <w:b w:val="1"/>
      </w:rPr>
    </w:lvl>
    <w:lvl w:ilvl="4">
      <w:start w:val="1"/>
      <w:numFmt w:val="decimal"/>
      <w:lvlText w:val="●.%2.%3.%4.%5."/>
      <w:lvlJc w:val="left"/>
      <w:pPr>
        <w:ind w:left="1440" w:hanging="1080"/>
      </w:pPr>
      <w:rPr/>
    </w:lvl>
    <w:lvl w:ilvl="5">
      <w:start w:val="1"/>
      <w:numFmt w:val="decimal"/>
      <w:lvlText w:val="●.%2.%3.%4.%5.%6."/>
      <w:lvlJc w:val="left"/>
      <w:pPr>
        <w:ind w:left="1800" w:hanging="1440"/>
      </w:pPr>
      <w:rPr/>
    </w:lvl>
    <w:lvl w:ilvl="6">
      <w:start w:val="1"/>
      <w:numFmt w:val="decimal"/>
      <w:lvlText w:val="●.%2.%3.%4.%5.%6.%7."/>
      <w:lvlJc w:val="left"/>
      <w:pPr>
        <w:ind w:left="1800" w:hanging="1440"/>
      </w:pPr>
      <w:rPr/>
    </w:lvl>
    <w:lvl w:ilvl="7">
      <w:start w:val="1"/>
      <w:numFmt w:val="decimal"/>
      <w:lvlText w:val="●.%2.%3.%4.%5.%6.%7.%8."/>
      <w:lvlJc w:val="left"/>
      <w:pPr>
        <w:ind w:left="2160" w:hanging="1800"/>
      </w:pPr>
      <w:rPr/>
    </w:lvl>
    <w:lvl w:ilvl="8">
      <w:start w:val="1"/>
      <w:numFmt w:val="decimal"/>
      <w:lvlText w:val="●.%2.%3.%4.%5.%6.%7.%8.%9."/>
      <w:lvlJc w:val="left"/>
      <w:pPr>
        <w:ind w:left="2160" w:hanging="1800"/>
      </w:pPr>
      <w:rPr/>
    </w:lvl>
  </w:abstractNum>
  <w:abstractNum w:abstractNumId="8">
    <w:lvl w:ilvl="0">
      <w:start w:val="1"/>
      <w:numFmt w:val="bullet"/>
      <w:lvlText w:val="●"/>
      <w:lvlJc w:val="left"/>
      <w:pPr>
        <w:ind w:left="1003" w:hanging="360"/>
      </w:pPr>
      <w:rPr>
        <w:rFonts w:ascii="Noto Sans Symbols" w:cs="Noto Sans Symbols" w:eastAsia="Noto Sans Symbols" w:hAnsi="Noto Sans Symbols"/>
        <w:color w:val="000000"/>
      </w:rPr>
    </w:lvl>
    <w:lvl w:ilvl="1">
      <w:start w:val="1"/>
      <w:numFmt w:val="decimal"/>
      <w:lvlText w:val="4.%2."/>
      <w:lvlJc w:val="left"/>
      <w:pPr>
        <w:ind w:left="1080" w:hanging="720"/>
      </w:pPr>
      <w:rPr>
        <w:b w:val="1"/>
      </w:rPr>
    </w:lvl>
    <w:lvl w:ilvl="2">
      <w:start w:val="1"/>
      <w:numFmt w:val="decimal"/>
      <w:lvlText w:val="4.1.%3."/>
      <w:lvlJc w:val="left"/>
      <w:pPr>
        <w:ind w:left="2527" w:hanging="907"/>
      </w:pPr>
      <w:rPr>
        <w:rFonts w:ascii="Century Gothic" w:cs="Century Gothic" w:eastAsia="Century Gothic" w:hAnsi="Century Gothic"/>
        <w:b w:val="1"/>
        <w:sz w:val="22"/>
        <w:szCs w:val="22"/>
      </w:rPr>
    </w:lvl>
    <w:lvl w:ilvl="3">
      <w:start w:val="1"/>
      <w:numFmt w:val="decimal"/>
      <w:lvlText w:val="5.1.%3.%4."/>
      <w:lvlJc w:val="left"/>
      <w:pPr>
        <w:ind w:left="3195" w:hanging="850"/>
      </w:pPr>
      <w:rPr>
        <w:b w:val="1"/>
      </w:rPr>
    </w:lvl>
    <w:lvl w:ilvl="4">
      <w:start w:val="1"/>
      <w:numFmt w:val="decimal"/>
      <w:lvlText w:val="●.%2.%3.%4.%5."/>
      <w:lvlJc w:val="left"/>
      <w:pPr>
        <w:ind w:left="1440" w:hanging="1080"/>
      </w:pPr>
      <w:rPr/>
    </w:lvl>
    <w:lvl w:ilvl="5">
      <w:start w:val="1"/>
      <w:numFmt w:val="decimal"/>
      <w:lvlText w:val="●.%2.%3.%4.%5.%6."/>
      <w:lvlJc w:val="left"/>
      <w:pPr>
        <w:ind w:left="1800" w:hanging="1440"/>
      </w:pPr>
      <w:rPr/>
    </w:lvl>
    <w:lvl w:ilvl="6">
      <w:start w:val="1"/>
      <w:numFmt w:val="decimal"/>
      <w:lvlText w:val="●.%2.%3.%4.%5.%6.%7."/>
      <w:lvlJc w:val="left"/>
      <w:pPr>
        <w:ind w:left="1800" w:hanging="1440"/>
      </w:pPr>
      <w:rPr/>
    </w:lvl>
    <w:lvl w:ilvl="7">
      <w:start w:val="1"/>
      <w:numFmt w:val="decimal"/>
      <w:lvlText w:val="●.%2.%3.%4.%5.%6.%7.%8."/>
      <w:lvlJc w:val="left"/>
      <w:pPr>
        <w:ind w:left="2160" w:hanging="1800"/>
      </w:pPr>
      <w:rPr/>
    </w:lvl>
    <w:lvl w:ilvl="8">
      <w:start w:val="1"/>
      <w:numFmt w:val="decimal"/>
      <w:lvlText w:val="●.%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left="720" w:hanging="720"/>
    </w:pPr>
    <w:rPr>
      <w:i w:val="1"/>
      <w:sz w:val="18"/>
      <w:szCs w:val="1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rFonts w:cs="Lohit Hindi" w:eastAsia="Droid Sans Fallback"/>
      <w:kern w:val="1"/>
      <w:lang w:bidi="hi-IN" w:eastAsia="zh-CN"/>
    </w:rPr>
  </w:style>
  <w:style w:type="paragraph" w:styleId="Ttulo1">
    <w:name w:val="heading 1"/>
    <w:basedOn w:val="Normal"/>
    <w:next w:val="Normal"/>
    <w:qFormat w:val="1"/>
    <w:pPr>
      <w:keepNext w:val="1"/>
      <w:tabs>
        <w:tab w:val="num" w:pos="0"/>
      </w:tabs>
      <w:ind w:left="432" w:hanging="432"/>
      <w:jc w:val="center"/>
      <w:outlineLvl w:val="0"/>
    </w:pPr>
    <w:rPr>
      <w:b w:val="1"/>
      <w:sz w:val="22"/>
      <w:szCs w:val="20"/>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qFormat w:val="1"/>
    <w:pPr>
      <w:keepNext w:val="1"/>
      <w:tabs>
        <w:tab w:val="num" w:pos="0"/>
      </w:tabs>
      <w:ind w:left="720" w:hanging="720"/>
      <w:outlineLvl w:val="2"/>
    </w:pPr>
    <w:rPr>
      <w:i w:val="1"/>
      <w:iCs w:val="1"/>
      <w:sz w:val="1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WW8Num2z1" w:customStyle="1">
    <w:name w:val="WW8Num2z1"/>
    <w:rPr>
      <w:b w:val="1"/>
    </w:rPr>
  </w:style>
  <w:style w:type="character" w:styleId="WW8Num2z2" w:customStyle="1">
    <w:name w:val="WW8Num2z2"/>
    <w:rPr>
      <w:rFonts w:ascii="Century Gothic" w:cs="Century Gothic" w:hAnsi="Century Gothic"/>
      <w:b w:val="1"/>
      <w:sz w:val="22"/>
      <w:szCs w:val="22"/>
    </w:rPr>
  </w:style>
  <w:style w:type="character" w:styleId="WW8Num4z0" w:customStyle="1">
    <w:name w:val="WW8Num4z0"/>
    <w:rPr>
      <w:rFonts w:ascii="Symbol" w:cs="Symbol" w:hAnsi="Symbol"/>
      <w:color w:val="000000"/>
    </w:rPr>
  </w:style>
  <w:style w:type="character" w:styleId="WW8Num4z1" w:customStyle="1">
    <w:name w:val="WW8Num4z1"/>
    <w:rPr>
      <w:b w:val="1"/>
    </w:rPr>
  </w:style>
  <w:style w:type="character" w:styleId="WW8Num4z2" w:customStyle="1">
    <w:name w:val="WW8Num4z2"/>
    <w:rPr>
      <w:rFonts w:ascii="Century Gothic" w:cs="Century Gothic" w:hAnsi="Century Gothic"/>
      <w:b w:val="1"/>
      <w:sz w:val="22"/>
      <w:szCs w:val="22"/>
    </w:rPr>
  </w:style>
  <w:style w:type="character" w:styleId="WW8Num5z0" w:customStyle="1">
    <w:name w:val="WW8Num5z0"/>
    <w:rPr>
      <w:rFonts w:ascii="Symbol" w:cs="Symbol" w:hAnsi="Symbol"/>
      <w:color w:val="000000"/>
    </w:rPr>
  </w:style>
  <w:style w:type="character" w:styleId="WW8Num5z1" w:customStyle="1">
    <w:name w:val="WW8Num5z1"/>
    <w:rPr>
      <w:b w:val="1"/>
    </w:rPr>
  </w:style>
  <w:style w:type="character" w:styleId="WW8Num5z2" w:customStyle="1">
    <w:name w:val="WW8Num5z2"/>
    <w:rPr>
      <w:rFonts w:ascii="Century Gothic" w:cs="Century Gothic" w:hAnsi="Century Gothic"/>
      <w:b w:val="1"/>
      <w:sz w:val="22"/>
      <w:szCs w:val="22"/>
    </w:rPr>
  </w:style>
  <w:style w:type="character" w:styleId="WW8Num6z0" w:customStyle="1">
    <w:name w:val="WW8Num6z0"/>
    <w:rPr>
      <w:rFonts w:ascii="Symbol" w:cs="Symbol" w:hAnsi="Symbol"/>
      <w:color w:val="000000"/>
    </w:rPr>
  </w:style>
  <w:style w:type="character" w:styleId="WW8Num6z1" w:customStyle="1">
    <w:name w:val="WW8Num6z1"/>
    <w:rPr>
      <w:b w:val="1"/>
    </w:rPr>
  </w:style>
  <w:style w:type="character" w:styleId="WW8Num6z2" w:customStyle="1">
    <w:name w:val="WW8Num6z2"/>
    <w:rPr>
      <w:rFonts w:ascii="Century Gothic" w:cs="Century Gothic" w:hAnsi="Century Gothic"/>
      <w:b w:val="1"/>
      <w:sz w:val="22"/>
      <w:szCs w:val="22"/>
    </w:rPr>
  </w:style>
  <w:style w:type="character" w:styleId="WW8Num7z1" w:customStyle="1">
    <w:name w:val="WW8Num7z1"/>
    <w:rPr>
      <w:b w:val="1"/>
    </w:rPr>
  </w:style>
  <w:style w:type="character" w:styleId="WW8Num7z2" w:customStyle="1">
    <w:name w:val="WW8Num7z2"/>
    <w:rPr>
      <w:rFonts w:ascii="Century Gothic" w:cs="Century Gothic" w:hAnsi="Century Gothic"/>
      <w:b w:val="1"/>
      <w:sz w:val="22"/>
      <w:szCs w:val="22"/>
    </w:rPr>
  </w:style>
  <w:style w:type="character" w:styleId="WW8Num8z1" w:customStyle="1">
    <w:name w:val="WW8Num8z1"/>
    <w:rPr>
      <w:b w:val="1"/>
    </w:rPr>
  </w:style>
  <w:style w:type="character" w:styleId="WW8Num8z2" w:customStyle="1">
    <w:name w:val="WW8Num8z2"/>
    <w:rPr>
      <w:rFonts w:ascii="Century Gothic" w:cs="Century Gothic" w:hAnsi="Century Gothic"/>
      <w:b w:val="1"/>
      <w:sz w:val="22"/>
      <w:szCs w:val="22"/>
    </w:rPr>
  </w:style>
  <w:style w:type="character" w:styleId="WW8Num9z0" w:customStyle="1">
    <w:name w:val="WW8Num9z0"/>
    <w:rPr>
      <w:rFonts w:ascii="Century Gothic" w:cs="Century Gothic" w:hAnsi="Century Gothic"/>
    </w:rPr>
  </w:style>
  <w:style w:type="character" w:styleId="Absatz-Standardschriftart" w:customStyle="1">
    <w:name w:val="Absatz-Standardschriftart"/>
  </w:style>
  <w:style w:type="character" w:styleId="WW-Absatz-Standardschriftart" w:customStyle="1">
    <w:name w:val="WW-Absatz-Standardschriftart"/>
  </w:style>
  <w:style w:type="character" w:styleId="Fuentedeprrafopredeter1" w:customStyle="1">
    <w:name w:val="Fuente de párrafo predeter.1"/>
  </w:style>
  <w:style w:type="character" w:styleId="Hipervnculo">
    <w:name w:val="Hyperlink"/>
    <w:rPr>
      <w:color w:val="0000ff"/>
      <w:u w:val="single"/>
    </w:rPr>
  </w:style>
  <w:style w:type="character" w:styleId="WW8Num12z0" w:customStyle="1">
    <w:name w:val="WW8Num12z0"/>
    <w:rPr>
      <w:b w:val="1"/>
      <w:u w:val="single"/>
    </w:rPr>
  </w:style>
  <w:style w:type="character" w:styleId="WW8Num12z1" w:customStyle="1">
    <w:name w:val="WW8Num12z1"/>
    <w:rPr>
      <w:b w:val="1"/>
      <w:u w:val="none"/>
    </w:rPr>
  </w:style>
  <w:style w:type="character" w:styleId="WW8Num7z0" w:customStyle="1">
    <w:name w:val="WW8Num7z0"/>
    <w:rPr>
      <w:rFonts w:ascii="Symbol" w:cs="Symbol" w:hAnsi="Symbol"/>
      <w:color w:val="000000"/>
    </w:rPr>
  </w:style>
  <w:style w:type="character" w:styleId="WW8Num10z0" w:customStyle="1">
    <w:name w:val="WW8Num10z0"/>
    <w:rPr>
      <w:rFonts w:ascii="Symbol" w:cs="Symbol" w:hAnsi="Symbol"/>
      <w:color w:val="000000"/>
    </w:rPr>
  </w:style>
  <w:style w:type="character" w:styleId="WW8Num10z1" w:customStyle="1">
    <w:name w:val="WW8Num10z1"/>
    <w:rPr>
      <w:b w:val="1"/>
    </w:rPr>
  </w:style>
  <w:style w:type="character" w:styleId="WW8Num10z2" w:customStyle="1">
    <w:name w:val="WW8Num10z2"/>
    <w:rPr>
      <w:rFonts w:ascii="Century Gothic" w:cs="Century Gothic" w:hAnsi="Century Gothic"/>
      <w:b w:val="1"/>
      <w:sz w:val="22"/>
      <w:szCs w:val="22"/>
    </w:rPr>
  </w:style>
  <w:style w:type="character" w:styleId="WW8Num9z1" w:customStyle="1">
    <w:name w:val="WW8Num9z1"/>
    <w:rPr>
      <w:b w:val="1"/>
    </w:rPr>
  </w:style>
  <w:style w:type="character" w:styleId="WW8Num9z2" w:customStyle="1">
    <w:name w:val="WW8Num9z2"/>
    <w:rPr>
      <w:rFonts w:ascii="Symbol" w:cs="Symbol" w:hAnsi="Symbol"/>
      <w:color w:val="000000"/>
    </w:rPr>
  </w:style>
  <w:style w:type="character" w:styleId="WW8Num3z1" w:customStyle="1">
    <w:name w:val="WW8Num3z1"/>
    <w:rPr>
      <w:b w:val="1"/>
    </w:rPr>
  </w:style>
  <w:style w:type="character" w:styleId="WW8Num3z2" w:customStyle="1">
    <w:name w:val="WW8Num3z2"/>
    <w:rPr>
      <w:rFonts w:ascii="Symbol" w:cs="Symbol" w:hAnsi="Symbol"/>
      <w:color w:val="000000"/>
    </w:rPr>
  </w:style>
  <w:style w:type="character" w:styleId="WW8Num1z0" w:customStyle="1">
    <w:name w:val="WW8Num1z0"/>
    <w:rPr>
      <w:rFonts w:ascii="Century Gothic" w:cs="Century Gothic" w:hAnsi="Century Gothic"/>
    </w:rPr>
  </w:style>
  <w:style w:type="character" w:styleId="WW8Num1z1" w:customStyle="1">
    <w:name w:val="WW8Num1z1"/>
    <w:rPr>
      <w:rFonts w:ascii="Courier New" w:cs="Courier New" w:hAnsi="Courier New"/>
    </w:rPr>
  </w:style>
  <w:style w:type="character" w:styleId="WW8Num1z2" w:customStyle="1">
    <w:name w:val="WW8Num1z2"/>
    <w:rPr>
      <w:rFonts w:ascii="Wingdings" w:cs="Wingdings" w:hAnsi="Wingdings"/>
    </w:rPr>
  </w:style>
  <w:style w:type="character" w:styleId="WW8Num1z3" w:customStyle="1">
    <w:name w:val="WW8Num1z3"/>
    <w:rPr>
      <w:rFonts w:ascii="Symbol" w:cs="Symbol" w:hAnsi="Symbol"/>
    </w:rPr>
  </w:style>
  <w:style w:type="character" w:styleId="Smbolosdenumeracin" w:customStyle="1">
    <w:name w:val="Símbolos de numeración"/>
  </w:style>
  <w:style w:type="paragraph" w:styleId="Encabezado1" w:customStyle="1">
    <w:name w:val="Encabezado1"/>
    <w:basedOn w:val="Normal"/>
    <w:next w:val="Textoindependiente"/>
    <w:pPr>
      <w:keepNext w:val="1"/>
      <w:spacing w:after="120" w:before="24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paragraph" w:styleId="Encabezado">
    <w:name w:val="header"/>
    <w:basedOn w:val="Normal"/>
    <w:link w:val="EncabezadoCar"/>
    <w:uiPriority w:val="99"/>
    <w:unhideWhenUsed w:val="1"/>
    <w:rsid w:val="0022798A"/>
    <w:pPr>
      <w:tabs>
        <w:tab w:val="center" w:pos="4419"/>
        <w:tab w:val="right" w:pos="8838"/>
      </w:tabs>
    </w:pPr>
    <w:rPr>
      <w:rFonts w:cs="Mangal"/>
      <w:szCs w:val="21"/>
    </w:rPr>
  </w:style>
  <w:style w:type="character" w:styleId="EncabezadoCar" w:customStyle="1">
    <w:name w:val="Encabezado Car"/>
    <w:link w:val="Encabezado"/>
    <w:uiPriority w:val="99"/>
    <w:rsid w:val="0022798A"/>
    <w:rPr>
      <w:rFonts w:cs="Mangal" w:eastAsia="Droid Sans Fallback"/>
      <w:kern w:val="1"/>
      <w:sz w:val="24"/>
      <w:szCs w:val="21"/>
      <w:lang w:bidi="hi-IN" w:eastAsia="zh-CN" w:val="es-AR"/>
    </w:rPr>
  </w:style>
  <w:style w:type="paragraph" w:styleId="Piedepgina">
    <w:name w:val="footer"/>
    <w:basedOn w:val="Normal"/>
    <w:link w:val="PiedepginaCar"/>
    <w:uiPriority w:val="99"/>
    <w:unhideWhenUsed w:val="1"/>
    <w:rsid w:val="0022798A"/>
    <w:pPr>
      <w:tabs>
        <w:tab w:val="center" w:pos="4419"/>
        <w:tab w:val="right" w:pos="8838"/>
      </w:tabs>
    </w:pPr>
    <w:rPr>
      <w:rFonts w:cs="Mangal"/>
      <w:szCs w:val="21"/>
    </w:rPr>
  </w:style>
  <w:style w:type="character" w:styleId="PiedepginaCar" w:customStyle="1">
    <w:name w:val="Pie de página Car"/>
    <w:link w:val="Piedepgina"/>
    <w:uiPriority w:val="99"/>
    <w:rsid w:val="0022798A"/>
    <w:rPr>
      <w:rFonts w:cs="Mangal" w:eastAsia="Droid Sans Fallback"/>
      <w:kern w:val="1"/>
      <w:sz w:val="24"/>
      <w:szCs w:val="21"/>
      <w:lang w:bidi="hi-IN" w:eastAsia="zh-CN" w:val="es-AR"/>
    </w:rPr>
  </w:style>
  <w:style w:type="paragraph" w:styleId="Textodeglobo">
    <w:name w:val="Balloon Text"/>
    <w:basedOn w:val="Normal"/>
    <w:link w:val="TextodegloboCar"/>
    <w:uiPriority w:val="99"/>
    <w:semiHidden w:val="1"/>
    <w:unhideWhenUsed w:val="1"/>
    <w:rsid w:val="0022798A"/>
    <w:rPr>
      <w:rFonts w:ascii="Tahoma" w:cs="Mangal" w:hAnsi="Tahoma"/>
      <w:sz w:val="16"/>
      <w:szCs w:val="14"/>
    </w:rPr>
  </w:style>
  <w:style w:type="character" w:styleId="TextodegloboCar" w:customStyle="1">
    <w:name w:val="Texto de globo Car"/>
    <w:link w:val="Textodeglobo"/>
    <w:uiPriority w:val="99"/>
    <w:semiHidden w:val="1"/>
    <w:rsid w:val="0022798A"/>
    <w:rPr>
      <w:rFonts w:ascii="Tahoma" w:cs="Mangal" w:eastAsia="Droid Sans Fallback" w:hAnsi="Tahoma"/>
      <w:kern w:val="1"/>
      <w:sz w:val="16"/>
      <w:szCs w:val="14"/>
      <w:lang w:bidi="hi-IN" w:eastAsia="zh-CN" w:val="es-AR"/>
    </w:rPr>
  </w:style>
  <w:style w:type="paragraph" w:styleId="Prrafodelista">
    <w:name w:val="List Paragraph"/>
    <w:basedOn w:val="Normal"/>
    <w:uiPriority w:val="34"/>
    <w:qFormat w:val="1"/>
    <w:rsid w:val="0022798A"/>
    <w:pPr>
      <w:ind w:left="708"/>
    </w:pPr>
    <w:rPr>
      <w:rFonts w:cs="Mangal"/>
      <w:szCs w:val="21"/>
    </w:rPr>
  </w:style>
  <w:style w:type="character" w:styleId="Hipervnculovisitado">
    <w:name w:val="FollowedHyperlink"/>
    <w:uiPriority w:val="99"/>
    <w:semiHidden w:val="1"/>
    <w:unhideWhenUsed w:val="1"/>
    <w:rsid w:val="0022798A"/>
    <w:rPr>
      <w:color w:val="800080"/>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pmch.com.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mch.com.ar" TargetMode="External"/><Relationship Id="rId8" Type="http://schemas.openxmlformats.org/officeDocument/2006/relationships/hyperlink" Target="https://licitaciones.chubut.gov.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LHvkgPIHud1/rSH00PQ7UTdGA==">AMUW2mVMLrZza7kDf5pKtky1mEf5/wiTABWgcCDMDAxMJ5idmBfXz0UeHX3f8+04pFH1+wQrBuqiVv6+D7Uds4YOuVvNoOlegJiNQCQSdbqNAaLtK0L70/U=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2021-12-30T12:01:00Z</dcterms:created>
  <dc:creator>Fernando Pastrana - Petrominera Chubut</dc:creator>
</cp:coreProperties>
</file>